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4DFB8" w14:textId="3FC788E4" w:rsidR="00367F49" w:rsidRPr="00367F49" w:rsidRDefault="00FB2D0B" w:rsidP="00367F49">
      <w:pPr>
        <w:pStyle w:val="Rubrik1"/>
      </w:pPr>
      <w:sdt>
        <w:sdtPr>
          <w:alias w:val="Dokumentnamn"/>
          <w:tag w:val="Dokumentnamn"/>
          <w:id w:val="-1131397625"/>
          <w:dataBinding w:prefixMappings="xmlns:ns0='http://purl.org/dc/elements/1.1/' xmlns:ns1='http://schemas.openxmlformats.org/package/2006/metadata/core-properties' " w:xpath="/ns1:coreProperties[1]/ns0:title[1]" w:storeItemID="{6C3C8BC8-F283-45AE-878A-BAB7291924A1}"/>
          <w:text/>
        </w:sdtPr>
        <w:sdtEndPr/>
        <w:sdtContent>
          <w:r w:rsidR="0072645C">
            <w:t>Underlag för beslut om stadsrevisionens budget 202</w:t>
          </w:r>
          <w:r w:rsidR="00137111">
            <w:t>6</w:t>
          </w:r>
          <w:r w:rsidR="0072645C">
            <w:t>–202</w:t>
          </w:r>
          <w:r w:rsidR="00137111">
            <w:t>8</w:t>
          </w:r>
        </w:sdtContent>
      </w:sdt>
    </w:p>
    <w:p w14:paraId="4C8213CA" w14:textId="77777777" w:rsidR="002D6E72" w:rsidRDefault="002D6E72" w:rsidP="0072645C">
      <w:pPr>
        <w:rPr>
          <w:rFonts w:ascii="Times New Roman" w:eastAsia="Arial" w:hAnsi="Times New Roman" w:cs="Times New Roman"/>
          <w:szCs w:val="22"/>
        </w:rPr>
      </w:pPr>
    </w:p>
    <w:p w14:paraId="411F36AC" w14:textId="371C1C9A" w:rsidR="0072645C" w:rsidRPr="005A0293" w:rsidRDefault="0072645C" w:rsidP="0072645C">
      <w:pPr>
        <w:rPr>
          <w:rFonts w:ascii="Times New Roman" w:eastAsia="Arial" w:hAnsi="Times New Roman" w:cs="Times New Roman"/>
          <w:szCs w:val="22"/>
        </w:rPr>
      </w:pPr>
      <w:r w:rsidRPr="005A0293">
        <w:rPr>
          <w:rFonts w:ascii="Times New Roman" w:eastAsia="Arial" w:hAnsi="Times New Roman" w:cs="Times New Roman"/>
          <w:szCs w:val="22"/>
        </w:rPr>
        <w:t xml:space="preserve">Revisorernas budget bereds av kommunfullmäktiges presidium. Denna ordning syftar till att säkerställa revisionens oberoende ställning. Kommunfullmäktige behandlar revisorernas budget i särskilt budgetärende. I enlighet med </w:t>
      </w:r>
      <w:r w:rsidRPr="005A0293">
        <w:rPr>
          <w:rFonts w:ascii="Times New Roman" w:eastAsia="Arial" w:hAnsi="Times New Roman" w:cs="Times New Roman"/>
          <w:i/>
          <w:iCs/>
          <w:szCs w:val="22"/>
        </w:rPr>
        <w:t xml:space="preserve">Reglemente för Göteborgs </w:t>
      </w:r>
      <w:proofErr w:type="gramStart"/>
      <w:r w:rsidRPr="005A0293">
        <w:rPr>
          <w:rFonts w:ascii="Times New Roman" w:eastAsia="Arial" w:hAnsi="Times New Roman" w:cs="Times New Roman"/>
          <w:i/>
          <w:iCs/>
          <w:szCs w:val="22"/>
        </w:rPr>
        <w:t>Stads revisorer</w:t>
      </w:r>
      <w:proofErr w:type="gramEnd"/>
      <w:r w:rsidRPr="005A0293">
        <w:rPr>
          <w:rFonts w:ascii="Times New Roman" w:eastAsia="Arial" w:hAnsi="Times New Roman" w:cs="Times New Roman"/>
          <w:szCs w:val="22"/>
        </w:rPr>
        <w:t xml:space="preserve"> upprättar revisorskollegiet förslag till budget för revisionen av kommunen.</w:t>
      </w:r>
    </w:p>
    <w:p w14:paraId="27722828" w14:textId="77777777" w:rsidR="0072645C" w:rsidRPr="005A0293" w:rsidRDefault="0072645C" w:rsidP="0072645C">
      <w:pPr>
        <w:rPr>
          <w:rFonts w:ascii="Times New Roman" w:eastAsia="Arial" w:hAnsi="Times New Roman" w:cs="Times New Roman"/>
          <w:szCs w:val="22"/>
        </w:rPr>
      </w:pPr>
      <w:r w:rsidRPr="005A0293">
        <w:rPr>
          <w:rFonts w:ascii="Times New Roman" w:eastAsia="Arial" w:hAnsi="Times New Roman" w:cs="Times New Roman"/>
          <w:szCs w:val="22"/>
        </w:rPr>
        <w:t>Stadens revisorer genomför granskning av samtliga nämnder och kommunstyrelsen samt de kommunala hel- och delägda bolagen. Stadsrevisionen fakturerar Göteborgs Stads bolag för utförd revision.</w:t>
      </w:r>
    </w:p>
    <w:p w14:paraId="54A77574" w14:textId="617B5A60" w:rsidR="002313C6" w:rsidRPr="005A0293" w:rsidRDefault="0072645C" w:rsidP="0072645C">
      <w:pPr>
        <w:rPr>
          <w:rFonts w:ascii="Times New Roman" w:eastAsia="Arial" w:hAnsi="Times New Roman" w:cs="Times New Roman"/>
          <w:szCs w:val="22"/>
        </w:rPr>
      </w:pPr>
      <w:r w:rsidRPr="005A0293">
        <w:rPr>
          <w:rFonts w:ascii="Times New Roman" w:eastAsia="Arial" w:hAnsi="Times New Roman" w:cs="Times New Roman"/>
          <w:szCs w:val="22"/>
        </w:rPr>
        <w:t>I följande avsnitt presenteras övergripande revisionens inriktning och de ekonomiska konsekvenserna som baseras på generella antaganden avseende kostnadsutveckling.</w:t>
      </w:r>
    </w:p>
    <w:p w14:paraId="5446F887" w14:textId="70270C99" w:rsidR="0072645C" w:rsidRDefault="0072645C" w:rsidP="0072645C">
      <w:pPr>
        <w:pStyle w:val="Rubrik2"/>
      </w:pPr>
      <w:r>
        <w:t>Uppdrag</w:t>
      </w:r>
    </w:p>
    <w:p w14:paraId="317243DF" w14:textId="01272845" w:rsidR="0072645C" w:rsidRDefault="0072645C" w:rsidP="0072645C">
      <w:r>
        <w:t xml:space="preserve">Revisorerna uppdrag är reglerat i lag och god </w:t>
      </w:r>
      <w:r w:rsidR="00137111">
        <w:t>revisions</w:t>
      </w:r>
      <w:r>
        <w:t>sed</w:t>
      </w:r>
      <w:r w:rsidR="00137111">
        <w:t xml:space="preserve"> i kommunal verksamhet</w:t>
      </w:r>
      <w:r>
        <w:t>.</w:t>
      </w:r>
      <w:r w:rsidR="005A0293">
        <w:t xml:space="preserve"> </w:t>
      </w:r>
      <w:r>
        <w:t>Granskningen ska genomföras med en sådan omfattning att revisorerna årligen kan bedöma att:</w:t>
      </w:r>
    </w:p>
    <w:p w14:paraId="07A27CFC" w14:textId="46D414F0" w:rsidR="0072645C" w:rsidRDefault="0072645C" w:rsidP="0072645C">
      <w:pPr>
        <w:pStyle w:val="Liststycke"/>
        <w:numPr>
          <w:ilvl w:val="0"/>
          <w:numId w:val="1"/>
        </w:numPr>
      </w:pPr>
      <w:r>
        <w:t xml:space="preserve">kommunens och de kommunala bolagens utövade verksamhet är ändamålsenlig </w:t>
      </w:r>
    </w:p>
    <w:p w14:paraId="7FA18125" w14:textId="77777777" w:rsidR="0072645C" w:rsidRDefault="0072645C" w:rsidP="001574FC">
      <w:pPr>
        <w:pStyle w:val="Liststycke"/>
      </w:pPr>
      <w:r>
        <w:t>och ekonomiskt tillfredsställande.</w:t>
      </w:r>
    </w:p>
    <w:p w14:paraId="76328597" w14:textId="4ABC4D54" w:rsidR="0072645C" w:rsidRDefault="0072645C" w:rsidP="0072645C">
      <w:pPr>
        <w:pStyle w:val="Liststycke"/>
        <w:numPr>
          <w:ilvl w:val="0"/>
          <w:numId w:val="1"/>
        </w:numPr>
      </w:pPr>
      <w:r>
        <w:t xml:space="preserve">den interna kontrollen i kommunstyrelsen, nämnder och bolag är tillräcklig. </w:t>
      </w:r>
    </w:p>
    <w:p w14:paraId="251B4896" w14:textId="602EE76C" w:rsidR="0072645C" w:rsidRDefault="0072645C" w:rsidP="0072645C">
      <w:pPr>
        <w:pStyle w:val="Liststycke"/>
        <w:numPr>
          <w:ilvl w:val="0"/>
          <w:numId w:val="1"/>
        </w:numPr>
      </w:pPr>
      <w:r>
        <w:t>resultatet i delårsrapporter och årsbokslut är förenliga med de mål fullmäktige beslutat om.</w:t>
      </w:r>
    </w:p>
    <w:p w14:paraId="45040C83" w14:textId="47A75DCA" w:rsidR="002D6E72" w:rsidRDefault="001574FC" w:rsidP="002D6E72">
      <w:pPr>
        <w:pStyle w:val="Liststycke"/>
        <w:numPr>
          <w:ilvl w:val="0"/>
          <w:numId w:val="1"/>
        </w:numPr>
      </w:pPr>
      <w:r>
        <w:t xml:space="preserve">Göteborgs stads delårsrapport och årsredovisning som omfattar kommunen och den sammanställda redovisningen, är upprättade i enlighet med lagstiftning och god redovisningssed och ger en rättvisande bild av resultat och ekonomisk ställning.  </w:t>
      </w:r>
    </w:p>
    <w:p w14:paraId="1F621595" w14:textId="75799009" w:rsidR="0072645C" w:rsidRDefault="0072645C" w:rsidP="0072645C">
      <w:pPr>
        <w:pStyle w:val="Rubrik2"/>
      </w:pPr>
      <w:r>
        <w:t>Vision och mål</w:t>
      </w:r>
    </w:p>
    <w:p w14:paraId="3C5F7F2F" w14:textId="77777777" w:rsidR="00292ECB" w:rsidRDefault="0072645C" w:rsidP="0072645C">
      <w:r>
        <w:t xml:space="preserve">Revisorernas vision är att stärka tilltron till det demokratiska systemet. Det uppnås genom att granskningen bidrar till att göra tydligt och synligt hur </w:t>
      </w:r>
      <w:r w:rsidR="00211CD9">
        <w:t xml:space="preserve">kommunens </w:t>
      </w:r>
      <w:r>
        <w:t xml:space="preserve">uppdrag genomförts och att granskningen medverkar till en ändamålsenlig styrning och ledning av stadens verksamheter. </w:t>
      </w:r>
      <w:r w:rsidR="00B408EC">
        <w:br/>
      </w:r>
    </w:p>
    <w:p w14:paraId="175C70A3" w14:textId="3DB8FF13" w:rsidR="0072645C" w:rsidRDefault="0072645C" w:rsidP="0072645C">
      <w:r>
        <w:lastRenderedPageBreak/>
        <w:t>Revisorerna har formulerat följande övergripande mål</w:t>
      </w:r>
      <w:r w:rsidR="00FB2D0B">
        <w:t xml:space="preserve"> för perioden</w:t>
      </w:r>
      <w:r>
        <w:t>:</w:t>
      </w:r>
    </w:p>
    <w:p w14:paraId="5059E898" w14:textId="5CF84116" w:rsidR="0072645C" w:rsidRDefault="0072645C" w:rsidP="0072645C">
      <w:pPr>
        <w:pStyle w:val="Liststycke"/>
        <w:numPr>
          <w:ilvl w:val="0"/>
          <w:numId w:val="2"/>
        </w:numPr>
      </w:pPr>
      <w:r>
        <w:t xml:space="preserve">Stadsrevisionen ska vara oberoende, publik och tydlig. </w:t>
      </w:r>
    </w:p>
    <w:p w14:paraId="4E3907F8" w14:textId="1B8B369B" w:rsidR="0072645C" w:rsidRDefault="0072645C" w:rsidP="0072645C">
      <w:pPr>
        <w:pStyle w:val="Liststycke"/>
        <w:numPr>
          <w:ilvl w:val="0"/>
          <w:numId w:val="2"/>
        </w:numPr>
      </w:pPr>
      <w:r>
        <w:t xml:space="preserve">Stadsrevisionen ska ha hög trovärdighet och skapa högt förtroende för revisionens iakttagelser. </w:t>
      </w:r>
    </w:p>
    <w:p w14:paraId="15A74664" w14:textId="25DE045F" w:rsidR="0072645C" w:rsidRDefault="0072645C" w:rsidP="0072645C">
      <w:pPr>
        <w:pStyle w:val="Liststycke"/>
        <w:numPr>
          <w:ilvl w:val="0"/>
          <w:numId w:val="2"/>
        </w:numPr>
      </w:pPr>
      <w:r>
        <w:t>Stadsrevisionen ska arbeta stödjande genom att i sin granskning bidra till en ändamålsenlig verksamhet.</w:t>
      </w:r>
    </w:p>
    <w:p w14:paraId="515A7B5D" w14:textId="528F7710" w:rsidR="0072645C" w:rsidRDefault="0072645C" w:rsidP="0072645C">
      <w:pPr>
        <w:pStyle w:val="Rubrik2"/>
      </w:pPr>
      <w:r>
        <w:t>Revisionens omfattning och inriktning 202</w:t>
      </w:r>
      <w:r w:rsidR="00D558AB">
        <w:t>6</w:t>
      </w:r>
      <w:r>
        <w:t>–202</w:t>
      </w:r>
      <w:r w:rsidR="00D558AB">
        <w:t>8</w:t>
      </w:r>
    </w:p>
    <w:p w14:paraId="1A2E4ACD" w14:textId="2C52939E" w:rsidR="0072645C" w:rsidRDefault="0072645C" w:rsidP="0072645C">
      <w:r>
        <w:t xml:space="preserve">Revisorerna ska bedriva ett väl underbyggt revisionsarbete till stöd för fullmäktiges ansvarsprövning av nämnderna och kommunstyrelsen. Den planerade revisionen ska uppfylla de krav som ställs i lagstiftning och god kommunal revisionssed. </w:t>
      </w:r>
    </w:p>
    <w:p w14:paraId="7CF8487A" w14:textId="2123AA22" w:rsidR="0072645C" w:rsidRDefault="0072645C" w:rsidP="0072645C">
      <w:r>
        <w:t xml:space="preserve">Granskningen baseras på en analys av de risker som utgör hot eller hinder för att kommunfullmäktiges mål och verksamheternas uppdrag ska kunna uppfyllas. Riskerna värderas utifrån väsentlighetskriterier. Analysen sker genom en systematisk identifiering och värdering av risker. Inom kommunal revision omfattar </w:t>
      </w:r>
      <w:proofErr w:type="spellStart"/>
      <w:r>
        <w:t>väsentlighetsbegreppet</w:t>
      </w:r>
      <w:proofErr w:type="spellEnd"/>
      <w:r>
        <w:t xml:space="preserve"> inte bara verksamheternas ekonomiska och finansiella förhållanden, utan också principfrågor som i olika avseenden utmärker kommunal </w:t>
      </w:r>
      <w:r w:rsidR="00D558AB">
        <w:t xml:space="preserve">offentlig </w:t>
      </w:r>
      <w:r>
        <w:t xml:space="preserve">verksamhet. </w:t>
      </w:r>
    </w:p>
    <w:p w14:paraId="0B3A6F30" w14:textId="1A257900" w:rsidR="0072645C" w:rsidRDefault="0072645C" w:rsidP="0072645C">
      <w:r>
        <w:t xml:space="preserve">Inriktningen för granskningen fastställs av revisorsgruppen och dokumenteras i en revisionsplan inför varje nytt revisionsår. Revisionsplanen anger granskningens inriktning och omfattning med utgångspunkt från prioriterade riskområden samt innehåller de under året planerade revisionsinsatserna. Revisionsplanen kompletteras under året med granskningsplaner för kommunstyrelsen, nämnder och bolag samt granskningsplaner för större projekt som berör flera </w:t>
      </w:r>
      <w:r w:rsidR="00D558AB">
        <w:t>verksamheter</w:t>
      </w:r>
      <w:r>
        <w:t>. Nedan kommenteras översiktligt några av de områden som årligen ingår i revisorernas granskningsuppdrag.</w:t>
      </w:r>
    </w:p>
    <w:p w14:paraId="68EAB84A" w14:textId="77777777" w:rsidR="0072645C" w:rsidRDefault="0072645C" w:rsidP="00DF37A9">
      <w:pPr>
        <w:pStyle w:val="Rubrik3"/>
      </w:pPr>
      <w:r>
        <w:t>Intern styrning och kontroll</w:t>
      </w:r>
    </w:p>
    <w:p w14:paraId="0FACD756" w14:textId="1308332D" w:rsidR="0072645C" w:rsidRDefault="0072645C" w:rsidP="0072645C">
      <w:r>
        <w:t xml:space="preserve">Det är nämnder och styrelser som har ansvar för den interna styrningen och kontrollen inom sina </w:t>
      </w:r>
      <w:r w:rsidR="00A36B14">
        <w:t>ansvars</w:t>
      </w:r>
      <w:r>
        <w:t>områden. Revisorernas uppdrag är att pröva om denna är tillräcklig.</w:t>
      </w:r>
    </w:p>
    <w:p w14:paraId="54A76689" w14:textId="374B26BB" w:rsidR="00A36B14" w:rsidRDefault="00A36B14" w:rsidP="00A36B14">
      <w:r>
        <w:t xml:space="preserve">Med intern styrning och kontroll avses systematiskt ordnade kontroller i organisationen, system, processer och rutiner med det primära syftet att nämnden eller styrelsen ska fullgöra sitt uppdrag och uppfylla kommunfullmäktiges mål. Intern styrning och kontroll involverar alla delar i </w:t>
      </w:r>
      <w:r w:rsidR="00F7368E">
        <w:t xml:space="preserve">organisationen - nämnd/styrelse, ledning och medarbetare - </w:t>
      </w:r>
      <w:r>
        <w:t xml:space="preserve">för att med rimlig grad av säkerhet kunna nå:  </w:t>
      </w:r>
    </w:p>
    <w:p w14:paraId="360B315B" w14:textId="77777777" w:rsidR="00A36B14" w:rsidRDefault="00A36B14" w:rsidP="00A36B14">
      <w:pPr>
        <w:pStyle w:val="Liststycke"/>
        <w:numPr>
          <w:ilvl w:val="0"/>
          <w:numId w:val="3"/>
        </w:numPr>
      </w:pPr>
      <w:r>
        <w:t>ändamålsenlig och effektiv verksamhet</w:t>
      </w:r>
    </w:p>
    <w:p w14:paraId="66713E0F" w14:textId="77777777" w:rsidR="00A36B14" w:rsidRDefault="00A36B14" w:rsidP="00A36B14">
      <w:pPr>
        <w:pStyle w:val="Liststycke"/>
        <w:numPr>
          <w:ilvl w:val="0"/>
          <w:numId w:val="3"/>
        </w:numPr>
      </w:pPr>
      <w:r>
        <w:t>tillförlitlig finansiell rapportering och information om verksamheten</w:t>
      </w:r>
    </w:p>
    <w:p w14:paraId="2166A2AA" w14:textId="77777777" w:rsidR="00A36B14" w:rsidRDefault="00A36B14" w:rsidP="00A36B14">
      <w:pPr>
        <w:pStyle w:val="Liststycke"/>
        <w:numPr>
          <w:ilvl w:val="0"/>
          <w:numId w:val="3"/>
        </w:numPr>
      </w:pPr>
      <w:r>
        <w:t>efterlevnad av lagar, föreskrifter och riktlinjer.</w:t>
      </w:r>
    </w:p>
    <w:p w14:paraId="7600E319" w14:textId="61C879C0" w:rsidR="00A36B14" w:rsidRDefault="00A36B14" w:rsidP="00A36B14">
      <w:r>
        <w:t xml:space="preserve">I den interna styrningen och kontrollen ingår därmed att skapa ändamålsenliga och väl dokumenterade rutiner, skydda mot förluster eller förstörelse av tillgångar och att upptäcka samt eliminera fel. </w:t>
      </w:r>
    </w:p>
    <w:p w14:paraId="18C9EFB7" w14:textId="1F56DDA2" w:rsidR="0072645C" w:rsidRDefault="00A36B14" w:rsidP="0072645C">
      <w:r>
        <w:lastRenderedPageBreak/>
        <w:t xml:space="preserve">Genom sin granskning bidrar </w:t>
      </w:r>
      <w:r w:rsidR="0072645C">
        <w:t>Stadsrevisionen till utvecklingen av en god organisationskultur</w:t>
      </w:r>
      <w:r w:rsidR="00B408EC">
        <w:t xml:space="preserve"> </w:t>
      </w:r>
      <w:r w:rsidR="0072645C">
        <w:t>i stadens nämnder och styrelser</w:t>
      </w:r>
      <w:r>
        <w:t xml:space="preserve"> samt till att </w:t>
      </w:r>
      <w:r w:rsidR="0072645C">
        <w:t xml:space="preserve">öka kunskapen och insikterna om de behov och grundläggande synsätt som bär upp en god intern </w:t>
      </w:r>
      <w:r w:rsidR="007050EE">
        <w:t xml:space="preserve">styrning och </w:t>
      </w:r>
      <w:r w:rsidR="0072645C">
        <w:t>kontroll.</w:t>
      </w:r>
    </w:p>
    <w:p w14:paraId="15FE05EA" w14:textId="77777777" w:rsidR="0072645C" w:rsidRDefault="0072645C" w:rsidP="0072645C">
      <w:pPr>
        <w:pStyle w:val="Rubrik3"/>
      </w:pPr>
      <w:r>
        <w:t>Ändamålsenlighet</w:t>
      </w:r>
    </w:p>
    <w:p w14:paraId="1FF8D694" w14:textId="5CD8559B" w:rsidR="0072645C" w:rsidRDefault="0072645C" w:rsidP="0072645C">
      <w:r>
        <w:t xml:space="preserve">Granskning av ändamålsenlighet är ett av huvuduppdragen för den kommunala revisionen. Att granska om verksamheten sköts på ett ändamålsenligt sätt handlar om att värdera om verksamheten lever upp till fullmäktiges mål, beslut och riktlinjer samt de föreskrifter och lagar som gäller för verksamheten. </w:t>
      </w:r>
    </w:p>
    <w:p w14:paraId="1F7D1413" w14:textId="722A355E" w:rsidR="0072645C" w:rsidRDefault="0072645C" w:rsidP="0072645C">
      <w:r>
        <w:t xml:space="preserve">Granskning av ändamålsenlighet görs genom inriktning på nämnders och bolags huvudprocesser och kärnverksamheter, så som de är formulerade i lagstiftning, riktlinjer, </w:t>
      </w:r>
      <w:r w:rsidR="00D9681A">
        <w:t>reglementen och äg</w:t>
      </w:r>
      <w:r>
        <w:t xml:space="preserve">ardirektiv. </w:t>
      </w:r>
    </w:p>
    <w:p w14:paraId="1C77ED27" w14:textId="77777777" w:rsidR="0072645C" w:rsidRDefault="0072645C" w:rsidP="0072645C">
      <w:pPr>
        <w:pStyle w:val="Rubrik3"/>
      </w:pPr>
      <w:r>
        <w:t xml:space="preserve">Upphandling och inköp </w:t>
      </w:r>
    </w:p>
    <w:p w14:paraId="3FD1B940" w14:textId="77777777" w:rsidR="0072645C" w:rsidRDefault="0072645C" w:rsidP="0072645C">
      <w:r>
        <w:t xml:space="preserve">Värdet av Göteborgs Stads samlade upphandling och inköp är omfattande. Upphandling och inköp är också ett förtroendekänsligt område. Som en följd av detta är det av betydelse att nämnder och bolag har en god intern kontroll över upphandlings- och inköpsprocessen. Ytterligare en utmaning som nämnder och bolag har att möta när en upphandling är genomförd och avtal är tecknat är att tillförsäkra sig ändamålsenliga och tillräckliga förutsättningar att styra, följa upp och kontrollera den verksamhet som utförs av externa leverantörer. </w:t>
      </w:r>
    </w:p>
    <w:p w14:paraId="6BBC9C0C" w14:textId="77777777" w:rsidR="0072645C" w:rsidRDefault="0072645C" w:rsidP="0072645C">
      <w:r>
        <w:t xml:space="preserve">Stadsrevisionen har ett särskilt uppdrag från kommunfullmäktige att löpande granska upphandlings- och inköpsverksamheten i staden. </w:t>
      </w:r>
    </w:p>
    <w:p w14:paraId="3DBB635C" w14:textId="77777777" w:rsidR="0072645C" w:rsidRDefault="0072645C" w:rsidP="0072645C">
      <w:pPr>
        <w:pStyle w:val="Rubrik3"/>
      </w:pPr>
      <w:r>
        <w:t>Förtroendekänsliga områden</w:t>
      </w:r>
    </w:p>
    <w:p w14:paraId="11A176E2" w14:textId="725911C4" w:rsidR="0072645C" w:rsidRDefault="0072645C" w:rsidP="0072645C">
      <w:r>
        <w:t>Verksamhet som bedrivs med offentliga medel ska förvaltas på ett betryggande sätt och med en tillfredsställande intern kontroll. Därtill har både Göteborgs Stad och allmänheten ett stort intresse av saklighet och opartiskhet i utövandet av offentlig verksamhet och att förtroendet för staden och dess anställda upprätthålls. Regeringsformen anger att den som fullgör offentliga förvaltningsuppgifter ska iaktta saklighet och opartiskhet och det finns regler om jäv som syftar till att garantera objektivitet och saklighet inom offentlig verksamhet.</w:t>
      </w:r>
    </w:p>
    <w:p w14:paraId="7A1596D5" w14:textId="17396A66" w:rsidR="0072645C" w:rsidRDefault="0072645C" w:rsidP="0072645C">
      <w:r>
        <w:t xml:space="preserve">Att minska riskerna för oegentligheter och för att någon i organisationen gör fel eller utsätts för otillåten påverkan i sin tjänsteutövning, är en viktig fråga för staden. Inom vissa områden är riskerna för förtroendeskada förhöjda. Det rör sig bland annat om resor i tjänsten, representation, bisysslor, arvoden, jäv, myndighetsutövning, </w:t>
      </w:r>
      <w:r w:rsidR="007D08CB">
        <w:t>inköp och upphandling, l</w:t>
      </w:r>
      <w:r>
        <w:t xml:space="preserve">everantörsuppföljning, lagerhantering, hyressättning, föreningsbidrag. </w:t>
      </w:r>
    </w:p>
    <w:p w14:paraId="3FCC9B51" w14:textId="5CFE8D06" w:rsidR="00B91A6B" w:rsidRDefault="00B91A6B" w:rsidP="0072645C">
      <w:r>
        <w:t xml:space="preserve">Stadsrevisionen genomför årligen granskning inom något eller några av dessa områden. </w:t>
      </w:r>
    </w:p>
    <w:p w14:paraId="29485BCC" w14:textId="77777777" w:rsidR="0072645C" w:rsidRDefault="0072645C" w:rsidP="0072645C">
      <w:pPr>
        <w:pStyle w:val="Rubrik3"/>
      </w:pPr>
      <w:r>
        <w:lastRenderedPageBreak/>
        <w:t>God ekonomisk hushållning och finansiella risker</w:t>
      </w:r>
    </w:p>
    <w:p w14:paraId="223437DA" w14:textId="16B2CA63" w:rsidR="0072645C" w:rsidRDefault="0072645C" w:rsidP="0072645C">
      <w:r>
        <w:t xml:space="preserve">Nämnderna ska bedriva sin verksamhet inom befintliga ekonomiska ramar och i enlighet med fullmäktiges beslutade mål och riktlinjer. Resurserna inom den kommunala sektorn är i hög grad uppbundna i långsiktiga åtaganden i form av till exempel anställningsavtal, hyresavtal eller investeringar i anläggningstillgångar. Därför krävs en god framförhållning och beredskap för att kunna anpassa verksamheten till nya eller förändrade förutsättningar. Det är då av yttersta vikt att uppföljning av ekonomi och verksamhet för hela staden ger tillförlitlig information </w:t>
      </w:r>
      <w:r w:rsidR="007B1E98">
        <w:t>om kommunens ekonomiska ställning</w:t>
      </w:r>
      <w:r>
        <w:t>.</w:t>
      </w:r>
    </w:p>
    <w:p w14:paraId="2BBEF8A7" w14:textId="061971FF" w:rsidR="0072645C" w:rsidRDefault="0072645C" w:rsidP="0072645C">
      <w:r>
        <w:t>Enligt kommunallagen ställs preciserade krav på kommunerna att besluta om både finansiella och verksamhetsmässiga mål som är av betydelse för god ekonomisk hushållning. De prioriterade målen för verksamheten följs upp och åter</w:t>
      </w:r>
      <w:r w:rsidR="007B1E98">
        <w:t xml:space="preserve">rapporteras </w:t>
      </w:r>
      <w:r>
        <w:t xml:space="preserve">under året och i samband med årsbokslutet. </w:t>
      </w:r>
    </w:p>
    <w:p w14:paraId="5855E087" w14:textId="77777777" w:rsidR="0072645C" w:rsidRDefault="0072645C" w:rsidP="0072645C">
      <w:r>
        <w:t>Revisorernas uppdrag omfattar att uttala sig om uppföljningen av kommunfullmäktiges mål för god ekonomisk hushållning i samband med årsbokslut och delårsbokslut.</w:t>
      </w:r>
    </w:p>
    <w:p w14:paraId="05C26555" w14:textId="47F367E4" w:rsidR="0072645C" w:rsidRDefault="0072645C" w:rsidP="0072645C">
      <w:r>
        <w:t>Den årliga revisionen bildar även grund till revisorernas uttalande om räkenskaperna är rättvisande.</w:t>
      </w:r>
    </w:p>
    <w:p w14:paraId="0DB628A0" w14:textId="77777777" w:rsidR="0072645C" w:rsidRDefault="0072645C" w:rsidP="0072645C">
      <w:pPr>
        <w:pStyle w:val="Rubrik2"/>
      </w:pPr>
      <w:r>
        <w:t>Stadsrevisionens arbetssätt</w:t>
      </w:r>
    </w:p>
    <w:p w14:paraId="66B65E0B" w14:textId="564B0689" w:rsidR="0072645C" w:rsidRDefault="0072645C" w:rsidP="0072645C">
      <w:r>
        <w:t xml:space="preserve">Revisorernas arbetssätt utgår från god revisionssed i kommunal verksamhet – såsom den uttolkas av Sveriges kommuner och regioner. I denna anges att revisorernas arbete ska vara stödjande, vilket uppnås bland annat genom en god dialog med nämnder och </w:t>
      </w:r>
      <w:r w:rsidR="00B91A6B">
        <w:t>bolags</w:t>
      </w:r>
      <w:r>
        <w:t>styrelser. Det är stadsrevisionens ambition och förhoppning att de rekommendationer till förbättringar i verksamheten som lämnas i redogörelser och rapporter ska uppfattas som en del i revisorernas stödjande arbete.</w:t>
      </w:r>
    </w:p>
    <w:p w14:paraId="6055CA9E" w14:textId="245CAB99" w:rsidR="00CB1AD2" w:rsidRDefault="00CB1AD2" w:rsidP="0072645C">
      <w:r>
        <w:t xml:space="preserve">Enligt kommunallagen ska revisorerna granska all verksamhet som bedrivs inom nämndernas </w:t>
      </w:r>
      <w:r w:rsidR="00CC1101">
        <w:t xml:space="preserve">och de kommunala bolagens </w:t>
      </w:r>
      <w:r>
        <w:t>verksamhetsområden.</w:t>
      </w:r>
      <w:r w:rsidR="00CC1101">
        <w:t xml:space="preserve"> Stadsrevisionen (vilket inkluderar lekmannarevisorer) granskar således alla stadens nämnder, kommunstyrelsen och stadens hel- och delägda bolag årligen. Granskningsinriktningen och omfattningen bygger på en risk- och väsentlighetsanalys.  </w:t>
      </w:r>
      <w:r>
        <w:t xml:space="preserve">  </w:t>
      </w:r>
    </w:p>
    <w:p w14:paraId="540B877F" w14:textId="187BCC35" w:rsidR="003258F1" w:rsidRDefault="003258F1" w:rsidP="0072645C">
      <w:r>
        <w:t xml:space="preserve">Revisorernas riskvärdering resulterar ibland till bedömningen att det finns områden/processer som är i behov av mer genomgripande och fördjupade genomlysningar. </w:t>
      </w:r>
      <w:r w:rsidR="0072645C">
        <w:t xml:space="preserve">Större projektgranskningar </w:t>
      </w:r>
      <w:r>
        <w:t xml:space="preserve">krävs </w:t>
      </w:r>
      <w:r w:rsidR="0072645C">
        <w:t xml:space="preserve">ofta för att kunna </w:t>
      </w:r>
      <w:r>
        <w:t>granska mer omfattande och komplexa frågeställningar</w:t>
      </w:r>
      <w:r w:rsidR="009225A8">
        <w:t xml:space="preserve">. </w:t>
      </w:r>
      <w:r w:rsidR="0072645C">
        <w:t xml:space="preserve">Stadsrevisionens projektgranskningar omfattar oftast flera </w:t>
      </w:r>
      <w:r w:rsidR="009225A8">
        <w:t xml:space="preserve">verksamheter </w:t>
      </w:r>
      <w:r w:rsidR="0072645C">
        <w:t>vilket är en förutsättning för att kunna granska processer som spänner över flera nämnder och bolag</w:t>
      </w:r>
      <w:r w:rsidR="009225A8">
        <w:t>.</w:t>
      </w:r>
      <w:r w:rsidR="0072645C">
        <w:t xml:space="preserve"> Dessa projektgranskningar redovisas till fullmäktige, och berörda nämnder och styrelser i form av särskilda rapporter. </w:t>
      </w:r>
      <w:r w:rsidR="007B1E98">
        <w:t xml:space="preserve">Vår bedömning är att projektgranskningar i många fall är en förutsättning för att kunna genomföra revisionen fullt ut enligt god revisionssed. </w:t>
      </w:r>
      <w:r w:rsidR="0072645C">
        <w:t xml:space="preserve">De är dock förhållandevis resurskrävande vilket leder till ett behov av prioriteringar. </w:t>
      </w:r>
    </w:p>
    <w:p w14:paraId="49CCC6A7" w14:textId="77777777" w:rsidR="0072645C" w:rsidRDefault="0072645C" w:rsidP="0072645C">
      <w:pPr>
        <w:pStyle w:val="Rubrik3"/>
      </w:pPr>
      <w:r>
        <w:lastRenderedPageBreak/>
        <w:t>Dialog med nämnder och styrelse</w:t>
      </w:r>
    </w:p>
    <w:p w14:paraId="71B35BE9" w14:textId="50A2F871" w:rsidR="0072645C" w:rsidRDefault="0072645C" w:rsidP="0072645C">
      <w:r>
        <w:t xml:space="preserve">En väl utvecklad dialog med nämnder och styrelser är ett betydelsefullt inslag i revisorernas arbete och bidrar till revisorernas förankring. Det är också en viktig del i det stödjande uppdraget. Revisorerna träffar årligen nämnder och styrelse för att informera om iakttagelser </w:t>
      </w:r>
      <w:r w:rsidR="00B13F09">
        <w:t xml:space="preserve">och bedömningar </w:t>
      </w:r>
      <w:r>
        <w:t xml:space="preserve">i samband med revisionen av det föregående verksamhetsåret samt för att informera om granskningsinriktning inför det kommande revisionsåret och föra dialog om viktiga frågor som nämnder och styrelse står inför.  </w:t>
      </w:r>
    </w:p>
    <w:p w14:paraId="08DA010B" w14:textId="1B2122FD" w:rsidR="0072645C" w:rsidRDefault="0072645C" w:rsidP="0072645C">
      <w:r>
        <w:t xml:space="preserve">Revisorerna träffar däremellan nämnder och </w:t>
      </w:r>
      <w:r w:rsidR="00B91A6B">
        <w:t>bolags</w:t>
      </w:r>
      <w:r w:rsidR="00927253">
        <w:t>s</w:t>
      </w:r>
      <w:r>
        <w:t>tyrelse</w:t>
      </w:r>
      <w:r w:rsidR="00B91A6B">
        <w:t>r</w:t>
      </w:r>
      <w:r>
        <w:t xml:space="preserve"> i de fall granskningen uppmärksammat väsentliga brister eller fel som det finns skäl att påtala i ett tidigt skede av den årliga granskningen. Av särskild vikt är att ha en dialog med nämnd eller styrelse vid risk för kritik. </w:t>
      </w:r>
    </w:p>
    <w:p w14:paraId="2E66BF2A" w14:textId="1CDE044B" w:rsidR="0072645C" w:rsidRDefault="003E4BB1" w:rsidP="0072645C">
      <w:pPr>
        <w:pStyle w:val="Rubrik3"/>
      </w:pPr>
      <w:r>
        <w:t>S</w:t>
      </w:r>
      <w:r w:rsidR="0072645C">
        <w:t>tandard för kommunal räkenskapsrevision</w:t>
      </w:r>
    </w:p>
    <w:p w14:paraId="36C082A1" w14:textId="79486D94" w:rsidR="0072645C" w:rsidRDefault="0072645C" w:rsidP="0072645C">
      <w:r>
        <w:t xml:space="preserve">De sakkunniga </w:t>
      </w:r>
      <w:r w:rsidR="00464ABF">
        <w:t>yrkes</w:t>
      </w:r>
      <w:r>
        <w:t xml:space="preserve">revisorerna arbetar enligt den normering som utformas av bransch-organisationen Sveriges kommunala yrkesrevisorer (SKYREV). Normeringen reglerar yrkesrevisorernas arbete såväl vid revision av verksamheten som den finansiella revisionen. </w:t>
      </w:r>
    </w:p>
    <w:p w14:paraId="12602233" w14:textId="600DE5FC" w:rsidR="0072645C" w:rsidRDefault="0072645C" w:rsidP="0072645C">
      <w:r>
        <w:t>Som norm för den finansiella revisionen världen över finns International Standards on Auditing (ISA</w:t>
      </w:r>
      <w:r w:rsidR="00763145">
        <w:t>)</w:t>
      </w:r>
      <w:r>
        <w:t xml:space="preserve">. </w:t>
      </w:r>
      <w:r w:rsidR="00174432">
        <w:t>Sveriges Kommuner och Regioner (SKR)</w:t>
      </w:r>
      <w:r>
        <w:t xml:space="preserve"> har i samverkan med SKYREV och </w:t>
      </w:r>
      <w:r w:rsidR="00174432">
        <w:t>F</w:t>
      </w:r>
      <w:r>
        <w:t>öreningen Auktoriserade Revisorer</w:t>
      </w:r>
      <w:r w:rsidR="00174432">
        <w:t xml:space="preserve"> (FAR</w:t>
      </w:r>
      <w:r>
        <w:t>) gemensamt utarbetat en standard för kommunal räkenskapsrevision</w:t>
      </w:r>
      <w:r w:rsidR="004A0A24">
        <w:t xml:space="preserve"> som bygger på den internationella standarden för finansiell revision</w:t>
      </w:r>
      <w:r>
        <w:t xml:space="preserve">. Den </w:t>
      </w:r>
      <w:r w:rsidR="00476952">
        <w:t xml:space="preserve">framtagna </w:t>
      </w:r>
      <w:r>
        <w:t xml:space="preserve">standarden för kommunal räkenskapsrevision ska användas av sakkunniga som arbetar med granskning av de kommunala räkenskaperna på uppdrag av förtroendevalda revisorer. </w:t>
      </w:r>
      <w:r w:rsidR="005E36BA">
        <w:t>S</w:t>
      </w:r>
      <w:r w:rsidR="00476952">
        <w:t xml:space="preserve">tandarden </w:t>
      </w:r>
      <w:r w:rsidR="00DB6970">
        <w:t xml:space="preserve">började tillämpas </w:t>
      </w:r>
      <w:r w:rsidR="005E36BA">
        <w:t>från och med verksamhetsåret 2023</w:t>
      </w:r>
      <w:r w:rsidR="00476952">
        <w:t xml:space="preserve">. </w:t>
      </w:r>
    </w:p>
    <w:p w14:paraId="0D0CAB7D" w14:textId="77777777" w:rsidR="0072645C" w:rsidRDefault="0072645C" w:rsidP="0072645C">
      <w:pPr>
        <w:pStyle w:val="Rubrik2"/>
      </w:pPr>
      <w:r>
        <w:t>Revisorernas resurser</w:t>
      </w:r>
    </w:p>
    <w:p w14:paraId="3A1B8D4A" w14:textId="77777777" w:rsidR="0072645C" w:rsidRDefault="0072645C" w:rsidP="0072645C">
      <w:r>
        <w:t xml:space="preserve">Revisorernas uttalande till fullmäktige angående kommunstyrelsens och nämndernas ansvar bygger på den under året genomförda granskningen. Omfattningen och inriktningen av revisionen beror i sin tur på revisorernas bedömning av de risker som utgör hot eller hinder för att kommunfullmäktiges mål och verksamheternas uppdrag ska kunna fullgöras. </w:t>
      </w:r>
    </w:p>
    <w:p w14:paraId="4E08102C" w14:textId="085A1075" w:rsidR="0072645C" w:rsidRDefault="0072645C" w:rsidP="0072645C">
      <w:r>
        <w:t xml:space="preserve">Uppkommer händelser under ett revisionsår som kräver att granskningen måste fördjupas inom ett visst område eller riktas mot ett område som inte prioriterats måste detta vara möjligt. Annars kan inte revisionsuppdraget fullgöras. Kostnaderna för revisorernas granskning påverkas också av förändringar i stadens nämndstruktur och organisations-former.  </w:t>
      </w:r>
    </w:p>
    <w:p w14:paraId="7B46D769" w14:textId="62198EDB" w:rsidR="0072645C" w:rsidRDefault="0072645C" w:rsidP="0072645C">
      <w:r>
        <w:t>Nedan redovisas utfall för 202</w:t>
      </w:r>
      <w:r w:rsidR="00861372">
        <w:t>4</w:t>
      </w:r>
      <w:r>
        <w:t xml:space="preserve"> och budgetram för 202</w:t>
      </w:r>
      <w:r w:rsidR="00861372">
        <w:t>5</w:t>
      </w:r>
      <w:r>
        <w:t>. Vidare redovisas resursbehov för år 202</w:t>
      </w:r>
      <w:r w:rsidR="00861372">
        <w:t>6</w:t>
      </w:r>
      <w:r>
        <w:t xml:space="preserve"> och en beräkning för åren 202</w:t>
      </w:r>
      <w:r w:rsidR="00861372">
        <w:t>7</w:t>
      </w:r>
      <w:r>
        <w:t>–202</w:t>
      </w:r>
      <w:r w:rsidR="00861372">
        <w:t>8</w:t>
      </w:r>
      <w:r>
        <w:t xml:space="preserve">. </w:t>
      </w:r>
    </w:p>
    <w:p w14:paraId="4A006DCA" w14:textId="77777777" w:rsidR="008827F4" w:rsidRDefault="008827F4" w:rsidP="0072645C"/>
    <w:p w14:paraId="1F252900" w14:textId="77777777" w:rsidR="008827F4" w:rsidRDefault="008827F4" w:rsidP="0072645C"/>
    <w:p w14:paraId="67C2BF11" w14:textId="3BCC8E36" w:rsidR="0072645C" w:rsidRDefault="0072645C" w:rsidP="0072645C">
      <w:pPr>
        <w:pStyle w:val="Rubrik3"/>
      </w:pPr>
      <w:r>
        <w:lastRenderedPageBreak/>
        <w:t>Resurser för verksamhetsåren 202</w:t>
      </w:r>
      <w:r w:rsidR="00DE031A">
        <w:t>4</w:t>
      </w:r>
      <w:r>
        <w:t>–202</w:t>
      </w:r>
      <w:r w:rsidR="00DE031A">
        <w:t>5</w:t>
      </w:r>
      <w:r>
        <w:t xml:space="preserve"> </w:t>
      </w:r>
    </w:p>
    <w:p w14:paraId="1A7C6F09" w14:textId="63775F7F" w:rsidR="0067199E" w:rsidRDefault="0072645C" w:rsidP="0072645C">
      <w:r>
        <w:t>I tabellen redovisas</w:t>
      </w:r>
      <w:r w:rsidR="00292ECB">
        <w:t>,</w:t>
      </w:r>
      <w:r>
        <w:t xml:space="preserve"> i sammandrag</w:t>
      </w:r>
      <w:r w:rsidR="00292ECB">
        <w:t>,</w:t>
      </w:r>
      <w:r>
        <w:t xml:space="preserve"> utfall för år 202</w:t>
      </w:r>
      <w:r w:rsidR="00DE031A">
        <w:t>4</w:t>
      </w:r>
      <w:r>
        <w:t xml:space="preserve"> samt budget för år 202</w:t>
      </w:r>
      <w:r w:rsidR="00DE031A">
        <w:t>5</w:t>
      </w:r>
      <w:r>
        <w:t xml:space="preserve"> efter beslut i kommunfullmäktige.</w:t>
      </w:r>
      <w:r w:rsidR="00D40723">
        <w:t xml:space="preserve"> </w:t>
      </w:r>
    </w:p>
    <w:p w14:paraId="06111EF9" w14:textId="77777777" w:rsidR="002C195E" w:rsidRDefault="002C195E" w:rsidP="0072645C"/>
    <w:tbl>
      <w:tblPr>
        <w:tblW w:w="5061" w:type="pct"/>
        <w:tblInd w:w="132" w:type="dxa"/>
        <w:tblBorders>
          <w:top w:val="single" w:sz="8" w:space="0" w:color="4F81BD"/>
          <w:left w:val="single" w:sz="8" w:space="0" w:color="4F81BD"/>
          <w:bottom w:val="single" w:sz="8" w:space="0" w:color="4F81BD"/>
          <w:right w:val="single" w:sz="8" w:space="0" w:color="4F81BD"/>
        </w:tblBorders>
        <w:tblLook w:val="06A0" w:firstRow="1" w:lastRow="0" w:firstColumn="1" w:lastColumn="0" w:noHBand="1" w:noVBand="1"/>
      </w:tblPr>
      <w:tblGrid>
        <w:gridCol w:w="3887"/>
        <w:gridCol w:w="2104"/>
        <w:gridCol w:w="2022"/>
      </w:tblGrid>
      <w:tr w:rsidR="00292ECB" w:rsidRPr="00E023D2" w14:paraId="67B30632" w14:textId="77777777" w:rsidTr="007C2C62">
        <w:trPr>
          <w:trHeight w:val="613"/>
        </w:trPr>
        <w:tc>
          <w:tcPr>
            <w:tcW w:w="2425" w:type="pct"/>
            <w:tcBorders>
              <w:bottom w:val="single" w:sz="24" w:space="0" w:color="4F81BD"/>
            </w:tcBorders>
            <w:shd w:val="clear" w:color="auto" w:fill="auto"/>
            <w:noWrap/>
          </w:tcPr>
          <w:p w14:paraId="4743424F" w14:textId="77777777" w:rsidR="00292ECB" w:rsidRPr="00A3157A" w:rsidRDefault="00292ECB" w:rsidP="00166115">
            <w:pPr>
              <w:rPr>
                <w:rFonts w:eastAsia="Times New Roman"/>
                <w:b/>
              </w:rPr>
            </w:pPr>
            <w:r w:rsidRPr="00A3157A">
              <w:rPr>
                <w:rFonts w:eastAsia="Times New Roman"/>
                <w:b/>
              </w:rPr>
              <w:t>Ekonomiska resurser</w:t>
            </w:r>
          </w:p>
        </w:tc>
        <w:tc>
          <w:tcPr>
            <w:tcW w:w="1313" w:type="pct"/>
            <w:tcBorders>
              <w:bottom w:val="single" w:sz="24" w:space="0" w:color="4F81BD"/>
            </w:tcBorders>
            <w:shd w:val="clear" w:color="auto" w:fill="auto"/>
          </w:tcPr>
          <w:p w14:paraId="7A53BA6B" w14:textId="77777777" w:rsidR="00292ECB" w:rsidRPr="00A3157A" w:rsidRDefault="00292ECB" w:rsidP="00166115">
            <w:pPr>
              <w:jc w:val="center"/>
              <w:rPr>
                <w:rFonts w:eastAsia="Times New Roman"/>
                <w:b/>
              </w:rPr>
            </w:pPr>
            <w:r w:rsidRPr="00A3157A">
              <w:rPr>
                <w:rFonts w:eastAsia="Times New Roman"/>
                <w:b/>
              </w:rPr>
              <w:t>Utfall 202</w:t>
            </w:r>
            <w:r>
              <w:rPr>
                <w:rFonts w:eastAsia="Times New Roman"/>
                <w:b/>
              </w:rPr>
              <w:t>4</w:t>
            </w:r>
            <w:r w:rsidRPr="00A3157A">
              <w:rPr>
                <w:rFonts w:eastAsia="Times New Roman"/>
                <w:b/>
              </w:rPr>
              <w:t xml:space="preserve"> </w:t>
            </w:r>
            <w:r w:rsidRPr="00A3157A">
              <w:rPr>
                <w:rFonts w:eastAsia="Times New Roman"/>
                <w:b/>
              </w:rPr>
              <w:br/>
              <w:t>(tkr)</w:t>
            </w:r>
          </w:p>
        </w:tc>
        <w:tc>
          <w:tcPr>
            <w:tcW w:w="1260" w:type="pct"/>
            <w:tcBorders>
              <w:bottom w:val="single" w:sz="24" w:space="0" w:color="4F81BD"/>
            </w:tcBorders>
            <w:shd w:val="clear" w:color="auto" w:fill="auto"/>
          </w:tcPr>
          <w:p w14:paraId="7923A662" w14:textId="77777777" w:rsidR="00292ECB" w:rsidRPr="00A3157A" w:rsidRDefault="00292ECB" w:rsidP="00166115">
            <w:pPr>
              <w:jc w:val="center"/>
              <w:rPr>
                <w:rFonts w:eastAsia="Times New Roman"/>
                <w:b/>
              </w:rPr>
            </w:pPr>
            <w:r w:rsidRPr="00A3157A">
              <w:rPr>
                <w:rFonts w:eastAsia="Times New Roman"/>
                <w:b/>
              </w:rPr>
              <w:t>Budgetram 202</w:t>
            </w:r>
            <w:r>
              <w:rPr>
                <w:rFonts w:eastAsia="Times New Roman"/>
                <w:b/>
              </w:rPr>
              <w:t>5</w:t>
            </w:r>
            <w:r w:rsidRPr="00A3157A">
              <w:rPr>
                <w:rFonts w:eastAsia="Times New Roman"/>
                <w:b/>
              </w:rPr>
              <w:br/>
              <w:t>(tkr)</w:t>
            </w:r>
          </w:p>
        </w:tc>
      </w:tr>
      <w:tr w:rsidR="00292ECB" w:rsidRPr="00E023D2" w14:paraId="27FDEF69" w14:textId="77777777" w:rsidTr="007C2C62">
        <w:trPr>
          <w:trHeight w:val="417"/>
        </w:trPr>
        <w:tc>
          <w:tcPr>
            <w:tcW w:w="2425" w:type="pct"/>
            <w:tcBorders>
              <w:right w:val="single" w:sz="8" w:space="0" w:color="4F81BD"/>
            </w:tcBorders>
            <w:shd w:val="clear" w:color="auto" w:fill="FFFFFF"/>
            <w:noWrap/>
          </w:tcPr>
          <w:p w14:paraId="5A018B19" w14:textId="77777777" w:rsidR="00292ECB" w:rsidRPr="00A3157A" w:rsidRDefault="00292ECB" w:rsidP="00166115">
            <w:pPr>
              <w:tabs>
                <w:tab w:val="left" w:pos="1080"/>
                <w:tab w:val="left" w:pos="1260"/>
              </w:tabs>
              <w:suppressAutoHyphens/>
              <w:rPr>
                <w:rFonts w:ascii="Times New Roman" w:eastAsia="Times New Roman" w:hAnsi="Times New Roman"/>
                <w:sz w:val="24"/>
              </w:rPr>
            </w:pPr>
            <w:r w:rsidRPr="00A3157A">
              <w:rPr>
                <w:rFonts w:ascii="Times New Roman" w:eastAsia="Times New Roman" w:hAnsi="Times New Roman"/>
                <w:sz w:val="24"/>
              </w:rPr>
              <w:t>Förtroendevalda revisorer</w:t>
            </w:r>
          </w:p>
        </w:tc>
        <w:tc>
          <w:tcPr>
            <w:tcW w:w="1313" w:type="pct"/>
            <w:shd w:val="clear" w:color="auto" w:fill="auto"/>
            <w:vAlign w:val="bottom"/>
          </w:tcPr>
          <w:p w14:paraId="08421D3F" w14:textId="77777777" w:rsidR="00292ECB" w:rsidRPr="00A3157A" w:rsidRDefault="00292ECB" w:rsidP="00166115">
            <w:pPr>
              <w:tabs>
                <w:tab w:val="left" w:pos="315"/>
              </w:tabs>
              <w:ind w:right="602"/>
              <w:jc w:val="right"/>
              <w:rPr>
                <w:rFonts w:ascii="Times New Roman" w:eastAsia="Times New Roman" w:hAnsi="Times New Roman"/>
                <w:sz w:val="24"/>
              </w:rPr>
            </w:pPr>
            <w:r w:rsidRPr="00A3157A">
              <w:rPr>
                <w:rFonts w:ascii="Times New Roman" w:eastAsia="Times New Roman" w:hAnsi="Times New Roman"/>
                <w:sz w:val="24"/>
              </w:rPr>
              <w:t xml:space="preserve">-2 </w:t>
            </w:r>
            <w:r>
              <w:rPr>
                <w:rFonts w:ascii="Times New Roman" w:eastAsia="Times New Roman" w:hAnsi="Times New Roman"/>
                <w:sz w:val="24"/>
              </w:rPr>
              <w:t>431</w:t>
            </w:r>
          </w:p>
        </w:tc>
        <w:tc>
          <w:tcPr>
            <w:tcW w:w="1260" w:type="pct"/>
            <w:shd w:val="clear" w:color="auto" w:fill="auto"/>
            <w:vAlign w:val="center"/>
          </w:tcPr>
          <w:p w14:paraId="6B68A139" w14:textId="77777777" w:rsidR="00292ECB" w:rsidRPr="00A3157A" w:rsidRDefault="00292ECB" w:rsidP="00166115">
            <w:pPr>
              <w:jc w:val="center"/>
              <w:rPr>
                <w:rFonts w:ascii="Times New Roman" w:eastAsia="Times New Roman" w:hAnsi="Times New Roman"/>
                <w:sz w:val="24"/>
              </w:rPr>
            </w:pPr>
            <w:r>
              <w:rPr>
                <w:rFonts w:ascii="Times New Roman" w:eastAsia="Times New Roman" w:hAnsi="Times New Roman"/>
                <w:sz w:val="24"/>
              </w:rPr>
              <w:t xml:space="preserve"> </w:t>
            </w:r>
            <w:r w:rsidRPr="00A3157A">
              <w:rPr>
                <w:rFonts w:ascii="Times New Roman" w:eastAsia="Times New Roman" w:hAnsi="Times New Roman"/>
                <w:sz w:val="24"/>
              </w:rPr>
              <w:t xml:space="preserve">  -</w:t>
            </w:r>
            <w:r>
              <w:rPr>
                <w:rFonts w:ascii="Times New Roman" w:eastAsia="Times New Roman" w:hAnsi="Times New Roman"/>
                <w:sz w:val="24"/>
              </w:rPr>
              <w:t>3 261</w:t>
            </w:r>
          </w:p>
        </w:tc>
      </w:tr>
      <w:tr w:rsidR="00292ECB" w:rsidRPr="00E023D2" w14:paraId="4E146942" w14:textId="77777777" w:rsidTr="007C2C62">
        <w:trPr>
          <w:trHeight w:val="428"/>
        </w:trPr>
        <w:tc>
          <w:tcPr>
            <w:tcW w:w="2425" w:type="pct"/>
            <w:tcBorders>
              <w:right w:val="single" w:sz="8" w:space="0" w:color="4F81BD"/>
            </w:tcBorders>
            <w:shd w:val="clear" w:color="auto" w:fill="FFFFFF"/>
            <w:noWrap/>
          </w:tcPr>
          <w:p w14:paraId="53D6519B" w14:textId="77777777" w:rsidR="00292ECB" w:rsidRPr="00A3157A" w:rsidRDefault="00292ECB" w:rsidP="00166115">
            <w:pPr>
              <w:tabs>
                <w:tab w:val="left" w:pos="1080"/>
                <w:tab w:val="left" w:pos="1260"/>
              </w:tabs>
              <w:suppressAutoHyphens/>
              <w:rPr>
                <w:rFonts w:ascii="Times New Roman" w:eastAsia="Times New Roman" w:hAnsi="Times New Roman"/>
                <w:sz w:val="24"/>
              </w:rPr>
            </w:pPr>
            <w:r w:rsidRPr="00A3157A">
              <w:rPr>
                <w:rFonts w:ascii="Times New Roman" w:eastAsia="Times New Roman" w:hAnsi="Times New Roman"/>
                <w:sz w:val="24"/>
              </w:rPr>
              <w:t>Sakkunnigt biträde</w:t>
            </w:r>
          </w:p>
        </w:tc>
        <w:tc>
          <w:tcPr>
            <w:tcW w:w="1313" w:type="pct"/>
            <w:shd w:val="clear" w:color="auto" w:fill="auto"/>
            <w:vAlign w:val="bottom"/>
          </w:tcPr>
          <w:p w14:paraId="60058591" w14:textId="77777777" w:rsidR="00292ECB" w:rsidRPr="00A3157A" w:rsidRDefault="00292ECB" w:rsidP="00166115">
            <w:pPr>
              <w:tabs>
                <w:tab w:val="left" w:pos="315"/>
              </w:tabs>
              <w:ind w:right="602"/>
              <w:jc w:val="right"/>
              <w:rPr>
                <w:rFonts w:ascii="Times New Roman" w:eastAsia="Times New Roman" w:hAnsi="Times New Roman"/>
                <w:sz w:val="24"/>
              </w:rPr>
            </w:pPr>
            <w:r w:rsidRPr="00A3157A">
              <w:rPr>
                <w:rFonts w:ascii="Times New Roman" w:eastAsia="Times New Roman" w:hAnsi="Times New Roman"/>
                <w:sz w:val="24"/>
              </w:rPr>
              <w:t>-3</w:t>
            </w:r>
            <w:r>
              <w:rPr>
                <w:rFonts w:ascii="Times New Roman" w:eastAsia="Times New Roman" w:hAnsi="Times New Roman"/>
                <w:sz w:val="24"/>
              </w:rPr>
              <w:t>4 527</w:t>
            </w:r>
          </w:p>
        </w:tc>
        <w:tc>
          <w:tcPr>
            <w:tcW w:w="1260" w:type="pct"/>
            <w:shd w:val="clear" w:color="auto" w:fill="auto"/>
            <w:vAlign w:val="center"/>
          </w:tcPr>
          <w:p w14:paraId="4EE1F8D9" w14:textId="77777777" w:rsidR="00292ECB" w:rsidRPr="00A3157A" w:rsidRDefault="00292ECB" w:rsidP="00166115">
            <w:pPr>
              <w:jc w:val="center"/>
              <w:rPr>
                <w:rFonts w:ascii="Times New Roman" w:eastAsia="Times New Roman" w:hAnsi="Times New Roman"/>
                <w:sz w:val="24"/>
              </w:rPr>
            </w:pPr>
            <w:r>
              <w:rPr>
                <w:rFonts w:ascii="Times New Roman" w:eastAsia="Times New Roman" w:hAnsi="Times New Roman"/>
                <w:sz w:val="24"/>
              </w:rPr>
              <w:t xml:space="preserve"> </w:t>
            </w:r>
            <w:r w:rsidRPr="00A3157A">
              <w:rPr>
                <w:rFonts w:ascii="Times New Roman" w:eastAsia="Times New Roman" w:hAnsi="Times New Roman"/>
                <w:sz w:val="24"/>
              </w:rPr>
              <w:t>-3</w:t>
            </w:r>
            <w:r>
              <w:rPr>
                <w:rFonts w:ascii="Times New Roman" w:eastAsia="Times New Roman" w:hAnsi="Times New Roman"/>
                <w:sz w:val="24"/>
              </w:rPr>
              <w:t>8 564</w:t>
            </w:r>
          </w:p>
        </w:tc>
      </w:tr>
      <w:tr w:rsidR="00292ECB" w:rsidRPr="00E023D2" w14:paraId="43D1DBBA" w14:textId="77777777" w:rsidTr="007C2C62">
        <w:trPr>
          <w:trHeight w:val="417"/>
        </w:trPr>
        <w:tc>
          <w:tcPr>
            <w:tcW w:w="2425" w:type="pct"/>
            <w:tcBorders>
              <w:right w:val="single" w:sz="8" w:space="0" w:color="4F81BD"/>
            </w:tcBorders>
            <w:shd w:val="clear" w:color="auto" w:fill="FFFFFF"/>
            <w:noWrap/>
          </w:tcPr>
          <w:p w14:paraId="0016ED4F" w14:textId="77777777" w:rsidR="00292ECB" w:rsidRPr="00A3157A" w:rsidRDefault="00292ECB" w:rsidP="00166115">
            <w:pPr>
              <w:tabs>
                <w:tab w:val="left" w:pos="1080"/>
                <w:tab w:val="left" w:pos="1260"/>
              </w:tabs>
              <w:suppressAutoHyphens/>
              <w:rPr>
                <w:rFonts w:ascii="Times New Roman" w:eastAsia="Times New Roman" w:hAnsi="Times New Roman"/>
                <w:sz w:val="24"/>
              </w:rPr>
            </w:pPr>
            <w:r w:rsidRPr="00A3157A">
              <w:rPr>
                <w:rFonts w:ascii="Times New Roman" w:eastAsia="Times New Roman" w:hAnsi="Times New Roman"/>
                <w:sz w:val="24"/>
              </w:rPr>
              <w:t>Övriga kostnader*</w:t>
            </w:r>
          </w:p>
        </w:tc>
        <w:tc>
          <w:tcPr>
            <w:tcW w:w="1313" w:type="pct"/>
            <w:shd w:val="clear" w:color="auto" w:fill="auto"/>
            <w:vAlign w:val="bottom"/>
          </w:tcPr>
          <w:p w14:paraId="0A9AAB7F" w14:textId="77777777" w:rsidR="00292ECB" w:rsidRPr="00A3157A" w:rsidRDefault="00292ECB" w:rsidP="00166115">
            <w:pPr>
              <w:tabs>
                <w:tab w:val="left" w:pos="315"/>
              </w:tabs>
              <w:ind w:right="602"/>
              <w:jc w:val="right"/>
              <w:rPr>
                <w:rFonts w:ascii="Times New Roman" w:eastAsia="Times New Roman" w:hAnsi="Times New Roman"/>
                <w:sz w:val="24"/>
              </w:rPr>
            </w:pPr>
            <w:r w:rsidRPr="00A3157A">
              <w:rPr>
                <w:rFonts w:ascii="Times New Roman" w:eastAsia="Times New Roman" w:hAnsi="Times New Roman"/>
                <w:sz w:val="24"/>
              </w:rPr>
              <w:t>-</w:t>
            </w:r>
            <w:r>
              <w:rPr>
                <w:rFonts w:ascii="Times New Roman" w:eastAsia="Times New Roman" w:hAnsi="Times New Roman"/>
                <w:sz w:val="24"/>
              </w:rPr>
              <w:t>8 221</w:t>
            </w:r>
          </w:p>
        </w:tc>
        <w:tc>
          <w:tcPr>
            <w:tcW w:w="1260" w:type="pct"/>
            <w:shd w:val="clear" w:color="auto" w:fill="auto"/>
            <w:vAlign w:val="center"/>
          </w:tcPr>
          <w:p w14:paraId="6AB1D8AA" w14:textId="77777777" w:rsidR="00292ECB" w:rsidRPr="00A3157A" w:rsidRDefault="00292ECB" w:rsidP="00166115">
            <w:pPr>
              <w:jc w:val="center"/>
              <w:rPr>
                <w:rFonts w:ascii="Times New Roman" w:eastAsia="Times New Roman" w:hAnsi="Times New Roman"/>
                <w:sz w:val="24"/>
              </w:rPr>
            </w:pPr>
            <w:r w:rsidRPr="00A3157A">
              <w:rPr>
                <w:rFonts w:ascii="Times New Roman" w:eastAsia="Times New Roman" w:hAnsi="Times New Roman"/>
                <w:sz w:val="24"/>
              </w:rPr>
              <w:t xml:space="preserve">   -</w:t>
            </w:r>
            <w:r>
              <w:rPr>
                <w:rFonts w:ascii="Times New Roman" w:eastAsia="Times New Roman" w:hAnsi="Times New Roman"/>
                <w:sz w:val="24"/>
              </w:rPr>
              <w:t>7 680</w:t>
            </w:r>
            <w:r w:rsidRPr="00A3157A">
              <w:rPr>
                <w:rFonts w:ascii="Times New Roman" w:eastAsia="Times New Roman" w:hAnsi="Times New Roman"/>
                <w:sz w:val="24"/>
              </w:rPr>
              <w:t xml:space="preserve">             </w:t>
            </w:r>
          </w:p>
        </w:tc>
      </w:tr>
      <w:tr w:rsidR="00292ECB" w:rsidRPr="00E023D2" w14:paraId="311017BC" w14:textId="77777777" w:rsidTr="007C2C62">
        <w:trPr>
          <w:trHeight w:val="417"/>
        </w:trPr>
        <w:tc>
          <w:tcPr>
            <w:tcW w:w="2425" w:type="pct"/>
            <w:tcBorders>
              <w:right w:val="single" w:sz="8" w:space="0" w:color="4F81BD"/>
            </w:tcBorders>
            <w:shd w:val="clear" w:color="auto" w:fill="FFFFFF"/>
            <w:noWrap/>
          </w:tcPr>
          <w:p w14:paraId="64E73A65" w14:textId="77777777" w:rsidR="00292ECB" w:rsidRPr="00A3157A" w:rsidRDefault="00292ECB" w:rsidP="00166115">
            <w:pPr>
              <w:rPr>
                <w:rFonts w:ascii="Times New Roman" w:eastAsia="Times New Roman" w:hAnsi="Times New Roman"/>
                <w:b/>
                <w:sz w:val="24"/>
              </w:rPr>
            </w:pPr>
            <w:r w:rsidRPr="00A3157A">
              <w:rPr>
                <w:rFonts w:ascii="Times New Roman" w:eastAsia="Times New Roman" w:hAnsi="Times New Roman"/>
                <w:b/>
                <w:sz w:val="24"/>
              </w:rPr>
              <w:t>Summa kostnader</w:t>
            </w:r>
          </w:p>
        </w:tc>
        <w:tc>
          <w:tcPr>
            <w:tcW w:w="1313" w:type="pct"/>
            <w:shd w:val="clear" w:color="auto" w:fill="auto"/>
            <w:vAlign w:val="bottom"/>
          </w:tcPr>
          <w:p w14:paraId="15B82E01" w14:textId="77777777" w:rsidR="00292ECB" w:rsidRPr="00A3157A" w:rsidRDefault="00292ECB" w:rsidP="00166115">
            <w:pPr>
              <w:tabs>
                <w:tab w:val="left" w:pos="315"/>
              </w:tabs>
              <w:ind w:right="602"/>
              <w:jc w:val="right"/>
              <w:rPr>
                <w:rFonts w:ascii="Times New Roman" w:eastAsia="Times New Roman" w:hAnsi="Times New Roman"/>
                <w:b/>
                <w:sz w:val="24"/>
              </w:rPr>
            </w:pPr>
            <w:r w:rsidRPr="00A3157A">
              <w:rPr>
                <w:rFonts w:ascii="Times New Roman" w:eastAsia="Times New Roman" w:hAnsi="Times New Roman"/>
                <w:b/>
                <w:sz w:val="24"/>
              </w:rPr>
              <w:t>-4</w:t>
            </w:r>
            <w:r>
              <w:rPr>
                <w:rFonts w:ascii="Times New Roman" w:eastAsia="Times New Roman" w:hAnsi="Times New Roman"/>
                <w:b/>
                <w:sz w:val="24"/>
              </w:rPr>
              <w:t>5 179</w:t>
            </w:r>
            <w:r w:rsidRPr="00A3157A">
              <w:rPr>
                <w:rFonts w:ascii="Times New Roman" w:eastAsia="Times New Roman" w:hAnsi="Times New Roman"/>
                <w:b/>
                <w:sz w:val="24"/>
              </w:rPr>
              <w:t xml:space="preserve"> </w:t>
            </w:r>
          </w:p>
        </w:tc>
        <w:tc>
          <w:tcPr>
            <w:tcW w:w="1260" w:type="pct"/>
            <w:shd w:val="clear" w:color="auto" w:fill="auto"/>
            <w:vAlign w:val="center"/>
          </w:tcPr>
          <w:p w14:paraId="55C992C3" w14:textId="77777777" w:rsidR="00292ECB" w:rsidRPr="00A3157A" w:rsidRDefault="00292ECB" w:rsidP="00166115">
            <w:pPr>
              <w:jc w:val="center"/>
              <w:rPr>
                <w:rFonts w:ascii="Times New Roman" w:eastAsia="Times New Roman" w:hAnsi="Times New Roman"/>
                <w:b/>
                <w:sz w:val="24"/>
              </w:rPr>
            </w:pPr>
            <w:r>
              <w:rPr>
                <w:rFonts w:ascii="Times New Roman" w:eastAsia="Times New Roman" w:hAnsi="Times New Roman"/>
                <w:b/>
                <w:sz w:val="24"/>
              </w:rPr>
              <w:t xml:space="preserve"> </w:t>
            </w:r>
            <w:r w:rsidRPr="00A3157A">
              <w:rPr>
                <w:rFonts w:ascii="Times New Roman" w:eastAsia="Times New Roman" w:hAnsi="Times New Roman"/>
                <w:b/>
                <w:sz w:val="24"/>
              </w:rPr>
              <w:t>-4</w:t>
            </w:r>
            <w:r>
              <w:rPr>
                <w:rFonts w:ascii="Times New Roman" w:eastAsia="Times New Roman" w:hAnsi="Times New Roman"/>
                <w:b/>
                <w:sz w:val="24"/>
              </w:rPr>
              <w:t>9 505</w:t>
            </w:r>
          </w:p>
        </w:tc>
      </w:tr>
      <w:tr w:rsidR="00292ECB" w:rsidRPr="00E023D2" w14:paraId="314E3466" w14:textId="77777777" w:rsidTr="007C2C62">
        <w:trPr>
          <w:trHeight w:val="428"/>
        </w:trPr>
        <w:tc>
          <w:tcPr>
            <w:tcW w:w="2425" w:type="pct"/>
            <w:tcBorders>
              <w:right w:val="single" w:sz="8" w:space="0" w:color="4F81BD"/>
            </w:tcBorders>
            <w:shd w:val="clear" w:color="auto" w:fill="FFFFFF"/>
            <w:noWrap/>
          </w:tcPr>
          <w:p w14:paraId="516B596B" w14:textId="77777777" w:rsidR="00292ECB" w:rsidRPr="00A3157A" w:rsidRDefault="00292ECB" w:rsidP="00166115">
            <w:pPr>
              <w:rPr>
                <w:rFonts w:ascii="Times New Roman" w:eastAsia="Times New Roman" w:hAnsi="Times New Roman"/>
                <w:sz w:val="24"/>
              </w:rPr>
            </w:pPr>
            <w:r w:rsidRPr="00A3157A">
              <w:rPr>
                <w:rFonts w:ascii="Times New Roman" w:eastAsia="Times New Roman" w:hAnsi="Times New Roman"/>
                <w:sz w:val="24"/>
              </w:rPr>
              <w:t>Fakturerade intäkter</w:t>
            </w:r>
          </w:p>
        </w:tc>
        <w:tc>
          <w:tcPr>
            <w:tcW w:w="1313" w:type="pct"/>
            <w:shd w:val="clear" w:color="auto" w:fill="auto"/>
            <w:vAlign w:val="bottom"/>
          </w:tcPr>
          <w:p w14:paraId="1E523AB6" w14:textId="77777777" w:rsidR="00292ECB" w:rsidRPr="00A3157A" w:rsidRDefault="00292ECB" w:rsidP="00166115">
            <w:pPr>
              <w:tabs>
                <w:tab w:val="left" w:pos="315"/>
              </w:tabs>
              <w:ind w:right="602"/>
              <w:jc w:val="right"/>
              <w:rPr>
                <w:rFonts w:ascii="Times New Roman" w:eastAsia="Times New Roman" w:hAnsi="Times New Roman"/>
                <w:sz w:val="24"/>
              </w:rPr>
            </w:pPr>
            <w:r w:rsidRPr="00A3157A">
              <w:rPr>
                <w:rFonts w:ascii="Times New Roman" w:eastAsia="Times New Roman" w:hAnsi="Times New Roman"/>
                <w:sz w:val="24"/>
              </w:rPr>
              <w:t xml:space="preserve">5 </w:t>
            </w:r>
            <w:r>
              <w:rPr>
                <w:rFonts w:ascii="Times New Roman" w:eastAsia="Times New Roman" w:hAnsi="Times New Roman"/>
                <w:sz w:val="24"/>
              </w:rPr>
              <w:t>661</w:t>
            </w:r>
          </w:p>
        </w:tc>
        <w:tc>
          <w:tcPr>
            <w:tcW w:w="1260" w:type="pct"/>
            <w:shd w:val="clear" w:color="auto" w:fill="auto"/>
            <w:vAlign w:val="center"/>
          </w:tcPr>
          <w:p w14:paraId="53A30D9D" w14:textId="77777777" w:rsidR="00292ECB" w:rsidRPr="00A3157A" w:rsidRDefault="00292ECB" w:rsidP="00166115">
            <w:pPr>
              <w:jc w:val="center"/>
              <w:rPr>
                <w:rFonts w:ascii="Times New Roman" w:eastAsia="Times New Roman" w:hAnsi="Times New Roman"/>
                <w:sz w:val="24"/>
              </w:rPr>
            </w:pPr>
            <w:r>
              <w:rPr>
                <w:rFonts w:ascii="Times New Roman" w:eastAsia="Times New Roman" w:hAnsi="Times New Roman"/>
                <w:sz w:val="24"/>
              </w:rPr>
              <w:t xml:space="preserve"> </w:t>
            </w:r>
            <w:r w:rsidRPr="00A3157A">
              <w:rPr>
                <w:rFonts w:ascii="Times New Roman" w:eastAsia="Times New Roman" w:hAnsi="Times New Roman"/>
                <w:sz w:val="24"/>
              </w:rPr>
              <w:t xml:space="preserve">   5 </w:t>
            </w:r>
            <w:r>
              <w:rPr>
                <w:rFonts w:ascii="Times New Roman" w:eastAsia="Times New Roman" w:hAnsi="Times New Roman"/>
                <w:sz w:val="24"/>
              </w:rPr>
              <w:t>752</w:t>
            </w:r>
          </w:p>
        </w:tc>
      </w:tr>
      <w:tr w:rsidR="00292ECB" w:rsidRPr="00E023D2" w14:paraId="23EA5F33" w14:textId="77777777" w:rsidTr="007C2C62">
        <w:trPr>
          <w:trHeight w:val="417"/>
        </w:trPr>
        <w:tc>
          <w:tcPr>
            <w:tcW w:w="2425" w:type="pct"/>
            <w:tcBorders>
              <w:right w:val="single" w:sz="8" w:space="0" w:color="4F81BD"/>
            </w:tcBorders>
            <w:shd w:val="clear" w:color="auto" w:fill="FFFFFF"/>
            <w:noWrap/>
          </w:tcPr>
          <w:p w14:paraId="203D0A45" w14:textId="77777777" w:rsidR="00292ECB" w:rsidRPr="00A3157A" w:rsidRDefault="00292ECB" w:rsidP="00166115">
            <w:pPr>
              <w:rPr>
                <w:rFonts w:ascii="Times New Roman" w:eastAsia="Times New Roman" w:hAnsi="Times New Roman"/>
                <w:sz w:val="24"/>
              </w:rPr>
            </w:pPr>
            <w:r w:rsidRPr="00A3157A">
              <w:rPr>
                <w:rFonts w:ascii="Times New Roman" w:eastAsia="Times New Roman" w:hAnsi="Times New Roman"/>
                <w:sz w:val="24"/>
              </w:rPr>
              <w:t>Kommunbidrag</w:t>
            </w:r>
          </w:p>
        </w:tc>
        <w:tc>
          <w:tcPr>
            <w:tcW w:w="1313" w:type="pct"/>
            <w:shd w:val="clear" w:color="auto" w:fill="auto"/>
            <w:vAlign w:val="bottom"/>
          </w:tcPr>
          <w:p w14:paraId="60BFAB0B" w14:textId="77777777" w:rsidR="00292ECB" w:rsidRPr="00A3157A" w:rsidRDefault="00292ECB" w:rsidP="00166115">
            <w:pPr>
              <w:tabs>
                <w:tab w:val="left" w:pos="315"/>
              </w:tabs>
              <w:ind w:right="602"/>
              <w:jc w:val="right"/>
              <w:rPr>
                <w:rFonts w:ascii="Times New Roman" w:eastAsia="Times New Roman" w:hAnsi="Times New Roman"/>
                <w:sz w:val="24"/>
              </w:rPr>
            </w:pPr>
            <w:r>
              <w:rPr>
                <w:rFonts w:ascii="Times New Roman" w:eastAsia="Times New Roman" w:hAnsi="Times New Roman"/>
                <w:sz w:val="24"/>
              </w:rPr>
              <w:t>42 296</w:t>
            </w:r>
          </w:p>
        </w:tc>
        <w:tc>
          <w:tcPr>
            <w:tcW w:w="1260" w:type="pct"/>
            <w:shd w:val="clear" w:color="auto" w:fill="auto"/>
            <w:vAlign w:val="center"/>
          </w:tcPr>
          <w:p w14:paraId="3411A4C1" w14:textId="77777777" w:rsidR="00292ECB" w:rsidRPr="00A3157A" w:rsidRDefault="00292ECB" w:rsidP="00166115">
            <w:pPr>
              <w:jc w:val="center"/>
              <w:rPr>
                <w:rFonts w:ascii="Times New Roman" w:eastAsia="Times New Roman" w:hAnsi="Times New Roman"/>
                <w:sz w:val="24"/>
              </w:rPr>
            </w:pPr>
            <w:r>
              <w:rPr>
                <w:rFonts w:ascii="Times New Roman" w:eastAsia="Times New Roman" w:hAnsi="Times New Roman"/>
                <w:sz w:val="24"/>
              </w:rPr>
              <w:t xml:space="preserve">  43 753</w:t>
            </w:r>
          </w:p>
        </w:tc>
      </w:tr>
      <w:tr w:rsidR="00292ECB" w:rsidRPr="00E023D2" w14:paraId="2556AE9A" w14:textId="77777777" w:rsidTr="007C2C62">
        <w:trPr>
          <w:trHeight w:val="428"/>
        </w:trPr>
        <w:tc>
          <w:tcPr>
            <w:tcW w:w="2425" w:type="pct"/>
            <w:tcBorders>
              <w:right w:val="single" w:sz="8" w:space="0" w:color="4F81BD"/>
            </w:tcBorders>
            <w:shd w:val="clear" w:color="auto" w:fill="FFFFFF"/>
            <w:noWrap/>
          </w:tcPr>
          <w:p w14:paraId="7152EE42" w14:textId="77777777" w:rsidR="00292ECB" w:rsidRPr="00A3157A" w:rsidRDefault="00292ECB" w:rsidP="00166115">
            <w:pPr>
              <w:rPr>
                <w:rFonts w:ascii="Times New Roman" w:eastAsia="Times New Roman" w:hAnsi="Times New Roman"/>
                <w:b/>
                <w:sz w:val="24"/>
              </w:rPr>
            </w:pPr>
            <w:r w:rsidRPr="00A3157A">
              <w:rPr>
                <w:rFonts w:ascii="Times New Roman" w:eastAsia="Times New Roman" w:hAnsi="Times New Roman"/>
                <w:b/>
                <w:sz w:val="24"/>
              </w:rPr>
              <w:t>Summa intäkter</w:t>
            </w:r>
          </w:p>
        </w:tc>
        <w:tc>
          <w:tcPr>
            <w:tcW w:w="1313" w:type="pct"/>
            <w:shd w:val="clear" w:color="auto" w:fill="auto"/>
          </w:tcPr>
          <w:p w14:paraId="158B45CD" w14:textId="77777777" w:rsidR="00292ECB" w:rsidRPr="00A3157A" w:rsidRDefault="00292ECB" w:rsidP="00166115">
            <w:pPr>
              <w:tabs>
                <w:tab w:val="left" w:pos="315"/>
              </w:tabs>
              <w:ind w:right="602"/>
              <w:jc w:val="right"/>
              <w:rPr>
                <w:rFonts w:ascii="Times New Roman" w:eastAsia="Times New Roman" w:hAnsi="Times New Roman"/>
                <w:b/>
                <w:sz w:val="24"/>
              </w:rPr>
            </w:pPr>
            <w:r w:rsidRPr="00A3157A">
              <w:rPr>
                <w:rFonts w:ascii="Times New Roman" w:eastAsia="Times New Roman" w:hAnsi="Times New Roman"/>
                <w:b/>
                <w:sz w:val="24"/>
              </w:rPr>
              <w:t>4</w:t>
            </w:r>
            <w:r>
              <w:rPr>
                <w:rFonts w:ascii="Times New Roman" w:eastAsia="Times New Roman" w:hAnsi="Times New Roman"/>
                <w:b/>
                <w:sz w:val="24"/>
              </w:rPr>
              <w:t>7 957</w:t>
            </w:r>
          </w:p>
        </w:tc>
        <w:tc>
          <w:tcPr>
            <w:tcW w:w="1260" w:type="pct"/>
            <w:shd w:val="clear" w:color="auto" w:fill="auto"/>
            <w:vAlign w:val="center"/>
          </w:tcPr>
          <w:p w14:paraId="1B018BA3" w14:textId="77777777" w:rsidR="00292ECB" w:rsidRPr="00A3157A" w:rsidRDefault="00292ECB" w:rsidP="00166115">
            <w:pPr>
              <w:jc w:val="center"/>
              <w:rPr>
                <w:rFonts w:ascii="Times New Roman" w:eastAsia="Times New Roman" w:hAnsi="Times New Roman"/>
                <w:b/>
                <w:sz w:val="24"/>
              </w:rPr>
            </w:pPr>
            <w:r>
              <w:rPr>
                <w:rFonts w:ascii="Times New Roman" w:eastAsia="Times New Roman" w:hAnsi="Times New Roman"/>
                <w:b/>
                <w:sz w:val="24"/>
              </w:rPr>
              <w:t xml:space="preserve">  </w:t>
            </w:r>
            <w:r w:rsidRPr="00A3157A">
              <w:rPr>
                <w:rFonts w:ascii="Times New Roman" w:eastAsia="Times New Roman" w:hAnsi="Times New Roman"/>
                <w:b/>
                <w:sz w:val="24"/>
              </w:rPr>
              <w:t>4</w:t>
            </w:r>
            <w:r>
              <w:rPr>
                <w:rFonts w:ascii="Times New Roman" w:eastAsia="Times New Roman" w:hAnsi="Times New Roman"/>
                <w:b/>
                <w:sz w:val="24"/>
              </w:rPr>
              <w:t>9 505</w:t>
            </w:r>
          </w:p>
        </w:tc>
      </w:tr>
      <w:tr w:rsidR="00292ECB" w:rsidRPr="006A78A8" w14:paraId="03F44FB6" w14:textId="77777777" w:rsidTr="007C2C62">
        <w:trPr>
          <w:trHeight w:val="417"/>
        </w:trPr>
        <w:tc>
          <w:tcPr>
            <w:tcW w:w="2425" w:type="pct"/>
            <w:tcBorders>
              <w:right w:val="single" w:sz="8" w:space="0" w:color="4F81BD"/>
            </w:tcBorders>
            <w:shd w:val="clear" w:color="auto" w:fill="FFFFFF"/>
            <w:noWrap/>
          </w:tcPr>
          <w:p w14:paraId="0975213E" w14:textId="77777777" w:rsidR="00292ECB" w:rsidRPr="006A78A8" w:rsidRDefault="00292ECB" w:rsidP="00166115">
            <w:pPr>
              <w:rPr>
                <w:rFonts w:ascii="Times New Roman" w:eastAsia="Times New Roman" w:hAnsi="Times New Roman"/>
                <w:b/>
                <w:sz w:val="24"/>
              </w:rPr>
            </w:pPr>
            <w:r w:rsidRPr="006A78A8">
              <w:rPr>
                <w:rFonts w:ascii="Times New Roman" w:eastAsia="Times New Roman" w:hAnsi="Times New Roman"/>
                <w:b/>
                <w:sz w:val="24"/>
              </w:rPr>
              <w:t>Årets resultat</w:t>
            </w:r>
          </w:p>
        </w:tc>
        <w:tc>
          <w:tcPr>
            <w:tcW w:w="1313" w:type="pct"/>
            <w:shd w:val="clear" w:color="auto" w:fill="auto"/>
            <w:vAlign w:val="bottom"/>
          </w:tcPr>
          <w:p w14:paraId="6D88EC16" w14:textId="77777777" w:rsidR="00292ECB" w:rsidRPr="006A78A8" w:rsidRDefault="00292ECB" w:rsidP="00166115">
            <w:pPr>
              <w:tabs>
                <w:tab w:val="left" w:pos="315"/>
              </w:tabs>
              <w:ind w:right="602"/>
              <w:jc w:val="right"/>
              <w:rPr>
                <w:rFonts w:ascii="Times New Roman" w:eastAsia="Times New Roman" w:hAnsi="Times New Roman"/>
                <w:sz w:val="24"/>
              </w:rPr>
            </w:pPr>
            <w:r>
              <w:rPr>
                <w:rFonts w:ascii="Times New Roman" w:eastAsia="Times New Roman" w:hAnsi="Times New Roman"/>
                <w:sz w:val="24"/>
              </w:rPr>
              <w:t>2 278</w:t>
            </w:r>
          </w:p>
        </w:tc>
        <w:tc>
          <w:tcPr>
            <w:tcW w:w="1260" w:type="pct"/>
            <w:shd w:val="clear" w:color="auto" w:fill="auto"/>
          </w:tcPr>
          <w:p w14:paraId="38D5FA69" w14:textId="77777777" w:rsidR="00292ECB" w:rsidRPr="006A78A8" w:rsidRDefault="00292ECB" w:rsidP="00166115">
            <w:pPr>
              <w:tabs>
                <w:tab w:val="left" w:pos="1274"/>
              </w:tabs>
              <w:suppressAutoHyphens/>
              <w:ind w:right="-108"/>
              <w:jc w:val="center"/>
              <w:rPr>
                <w:rFonts w:ascii="Times New Roman" w:eastAsia="Times New Roman" w:hAnsi="Times New Roman"/>
                <w:sz w:val="24"/>
              </w:rPr>
            </w:pPr>
            <w:r>
              <w:rPr>
                <w:rFonts w:ascii="Times New Roman" w:eastAsia="Times New Roman" w:hAnsi="Times New Roman"/>
                <w:sz w:val="24"/>
              </w:rPr>
              <w:t xml:space="preserve">  </w:t>
            </w:r>
            <w:r w:rsidRPr="006A78A8">
              <w:rPr>
                <w:rFonts w:ascii="Times New Roman" w:eastAsia="Times New Roman" w:hAnsi="Times New Roman"/>
                <w:sz w:val="24"/>
              </w:rPr>
              <w:t xml:space="preserve"> </w:t>
            </w:r>
            <w:r>
              <w:rPr>
                <w:rFonts w:ascii="Times New Roman" w:eastAsia="Times New Roman" w:hAnsi="Times New Roman"/>
                <w:sz w:val="24"/>
              </w:rPr>
              <w:t xml:space="preserve">      0</w:t>
            </w:r>
          </w:p>
        </w:tc>
      </w:tr>
      <w:tr w:rsidR="00292ECB" w:rsidRPr="006A78A8" w14:paraId="6AA303E0" w14:textId="77777777" w:rsidTr="007C2C62">
        <w:trPr>
          <w:trHeight w:val="417"/>
        </w:trPr>
        <w:tc>
          <w:tcPr>
            <w:tcW w:w="2425" w:type="pct"/>
            <w:tcBorders>
              <w:right w:val="single" w:sz="8" w:space="0" w:color="4F81BD"/>
            </w:tcBorders>
            <w:shd w:val="clear" w:color="auto" w:fill="FFFFFF"/>
            <w:noWrap/>
          </w:tcPr>
          <w:p w14:paraId="4EA2AA1F" w14:textId="77777777" w:rsidR="00292ECB" w:rsidRPr="006A78A8" w:rsidRDefault="00292ECB" w:rsidP="00166115">
            <w:pPr>
              <w:rPr>
                <w:rFonts w:ascii="Times New Roman" w:eastAsia="Times New Roman" w:hAnsi="Times New Roman"/>
                <w:b/>
                <w:sz w:val="24"/>
              </w:rPr>
            </w:pPr>
            <w:r w:rsidRPr="006A78A8">
              <w:rPr>
                <w:rFonts w:ascii="Times New Roman" w:eastAsia="Times New Roman" w:hAnsi="Times New Roman"/>
                <w:b/>
                <w:sz w:val="24"/>
              </w:rPr>
              <w:t>Eget kapital</w:t>
            </w:r>
          </w:p>
        </w:tc>
        <w:tc>
          <w:tcPr>
            <w:tcW w:w="1313" w:type="pct"/>
            <w:shd w:val="clear" w:color="auto" w:fill="auto"/>
            <w:vAlign w:val="bottom"/>
          </w:tcPr>
          <w:p w14:paraId="51653928" w14:textId="77777777" w:rsidR="00292ECB" w:rsidRPr="006A78A8" w:rsidRDefault="00292ECB" w:rsidP="00166115">
            <w:pPr>
              <w:tabs>
                <w:tab w:val="left" w:pos="315"/>
              </w:tabs>
              <w:ind w:right="602"/>
              <w:jc w:val="right"/>
              <w:rPr>
                <w:rFonts w:ascii="Times New Roman" w:eastAsia="Times New Roman" w:hAnsi="Times New Roman"/>
                <w:sz w:val="24"/>
              </w:rPr>
            </w:pPr>
            <w:r>
              <w:rPr>
                <w:rFonts w:ascii="Times New Roman" w:eastAsia="Times New Roman" w:hAnsi="Times New Roman"/>
                <w:sz w:val="24"/>
              </w:rPr>
              <w:t>5 479</w:t>
            </w:r>
          </w:p>
        </w:tc>
        <w:tc>
          <w:tcPr>
            <w:tcW w:w="1260" w:type="pct"/>
            <w:tcBorders>
              <w:right w:val="single" w:sz="4" w:space="0" w:color="00B0F0"/>
            </w:tcBorders>
            <w:shd w:val="clear" w:color="auto" w:fill="auto"/>
          </w:tcPr>
          <w:p w14:paraId="334EA1D4" w14:textId="77777777" w:rsidR="00292ECB" w:rsidRPr="006A78A8" w:rsidRDefault="00292ECB" w:rsidP="00166115">
            <w:pPr>
              <w:tabs>
                <w:tab w:val="left" w:pos="1080"/>
                <w:tab w:val="left" w:pos="1274"/>
              </w:tabs>
              <w:suppressAutoHyphens/>
              <w:jc w:val="center"/>
              <w:rPr>
                <w:rFonts w:ascii="Times New Roman" w:eastAsia="Times New Roman" w:hAnsi="Times New Roman"/>
                <w:sz w:val="24"/>
              </w:rPr>
            </w:pPr>
            <w:r>
              <w:rPr>
                <w:rFonts w:ascii="Times New Roman" w:eastAsia="Times New Roman" w:hAnsi="Times New Roman"/>
                <w:sz w:val="24"/>
              </w:rPr>
              <w:t xml:space="preserve">   </w:t>
            </w:r>
            <w:r w:rsidRPr="006A78A8">
              <w:rPr>
                <w:rFonts w:ascii="Times New Roman" w:eastAsia="Times New Roman" w:hAnsi="Times New Roman"/>
                <w:sz w:val="24"/>
              </w:rPr>
              <w:t xml:space="preserve"> </w:t>
            </w:r>
            <w:r>
              <w:rPr>
                <w:rFonts w:ascii="Times New Roman" w:eastAsia="Times New Roman" w:hAnsi="Times New Roman"/>
                <w:sz w:val="24"/>
              </w:rPr>
              <w:t>2 200</w:t>
            </w:r>
          </w:p>
        </w:tc>
      </w:tr>
      <w:tr w:rsidR="00292ECB" w:rsidRPr="006A78A8" w14:paraId="68D7F0C3" w14:textId="77777777" w:rsidTr="007C2C62">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trHeight w:val="765"/>
        </w:trPr>
        <w:tc>
          <w:tcPr>
            <w:tcW w:w="5000" w:type="pct"/>
            <w:gridSpan w:val="3"/>
            <w:tcBorders>
              <w:top w:val="single" w:sz="4" w:space="0" w:color="4472C4"/>
            </w:tcBorders>
            <w:noWrap/>
            <w:hideMark/>
          </w:tcPr>
          <w:p w14:paraId="0AD89B9E" w14:textId="6CE21F8D" w:rsidR="00292ECB" w:rsidRPr="006A78A8" w:rsidRDefault="00292ECB" w:rsidP="00166115">
            <w:pPr>
              <w:spacing w:after="0"/>
              <w:rPr>
                <w:rFonts w:eastAsia="Times New Roman"/>
                <w:b/>
                <w:bCs/>
                <w:i/>
                <w:iCs/>
                <w:sz w:val="16"/>
                <w:szCs w:val="16"/>
                <w:lang w:eastAsia="sv-SE"/>
              </w:rPr>
            </w:pPr>
            <w:r w:rsidRPr="006A78A8">
              <w:rPr>
                <w:rFonts w:eastAsia="Times New Roman"/>
                <w:b/>
                <w:bCs/>
                <w:i/>
                <w:iCs/>
                <w:sz w:val="20"/>
                <w:szCs w:val="20"/>
                <w:lang w:eastAsia="sv-SE"/>
              </w:rPr>
              <w:t xml:space="preserve">  *</w:t>
            </w:r>
            <w:r w:rsidRPr="006A78A8">
              <w:rPr>
                <w:rFonts w:eastAsia="Times New Roman"/>
                <w:b/>
                <w:bCs/>
                <w:i/>
                <w:iCs/>
                <w:sz w:val="16"/>
                <w:szCs w:val="16"/>
                <w:lang w:eastAsia="sv-SE"/>
              </w:rPr>
              <w:t xml:space="preserve">lokalkostnader </w:t>
            </w:r>
            <w:proofErr w:type="spellStart"/>
            <w:r w:rsidRPr="006A78A8">
              <w:rPr>
                <w:rFonts w:eastAsia="Times New Roman"/>
                <w:b/>
                <w:bCs/>
                <w:i/>
                <w:iCs/>
                <w:sz w:val="16"/>
                <w:szCs w:val="16"/>
                <w:lang w:eastAsia="sv-SE"/>
              </w:rPr>
              <w:t>inkl</w:t>
            </w:r>
            <w:proofErr w:type="spellEnd"/>
            <w:r w:rsidRPr="006A78A8">
              <w:rPr>
                <w:rFonts w:eastAsia="Times New Roman"/>
                <w:b/>
                <w:bCs/>
                <w:i/>
                <w:iCs/>
                <w:sz w:val="16"/>
                <w:szCs w:val="16"/>
                <w:lang w:eastAsia="sv-SE"/>
              </w:rPr>
              <w:t xml:space="preserve"> städ och underhåll</w:t>
            </w:r>
            <w:r>
              <w:rPr>
                <w:rFonts w:eastAsia="Times New Roman"/>
                <w:b/>
                <w:bCs/>
                <w:i/>
                <w:iCs/>
                <w:sz w:val="16"/>
                <w:szCs w:val="16"/>
                <w:lang w:eastAsia="sv-SE"/>
              </w:rPr>
              <w:t xml:space="preserve">, </w:t>
            </w:r>
            <w:proofErr w:type="spellStart"/>
            <w:r>
              <w:rPr>
                <w:rFonts w:eastAsia="Times New Roman"/>
                <w:b/>
                <w:bCs/>
                <w:i/>
                <w:iCs/>
                <w:sz w:val="16"/>
                <w:szCs w:val="16"/>
                <w:lang w:eastAsia="sv-SE"/>
              </w:rPr>
              <w:t>it-tjänster</w:t>
            </w:r>
            <w:proofErr w:type="spellEnd"/>
            <w:r>
              <w:rPr>
                <w:rFonts w:eastAsia="Times New Roman"/>
                <w:b/>
                <w:bCs/>
                <w:i/>
                <w:iCs/>
                <w:sz w:val="16"/>
                <w:szCs w:val="16"/>
                <w:lang w:eastAsia="sv-SE"/>
              </w:rPr>
              <w:t>, leasing, kompetensutveckling</w:t>
            </w:r>
            <w:r w:rsidRPr="006A78A8">
              <w:rPr>
                <w:rFonts w:eastAsia="Times New Roman"/>
                <w:b/>
                <w:bCs/>
                <w:i/>
                <w:iCs/>
                <w:sz w:val="16"/>
                <w:szCs w:val="16"/>
                <w:lang w:eastAsia="sv-SE"/>
              </w:rPr>
              <w:t xml:space="preserve">               </w:t>
            </w:r>
          </w:p>
          <w:p w14:paraId="733C9DFD" w14:textId="6804F29F" w:rsidR="00292ECB" w:rsidRPr="00292ECB" w:rsidRDefault="00292ECB" w:rsidP="00292ECB">
            <w:pPr>
              <w:spacing w:after="0"/>
              <w:rPr>
                <w:rFonts w:eastAsia="Times New Roman"/>
                <w:b/>
                <w:bCs/>
                <w:i/>
                <w:iCs/>
                <w:sz w:val="16"/>
                <w:szCs w:val="16"/>
                <w:lang w:eastAsia="sv-SE"/>
              </w:rPr>
            </w:pPr>
            <w:r w:rsidRPr="006A78A8">
              <w:rPr>
                <w:rFonts w:eastAsia="Times New Roman"/>
                <w:b/>
                <w:bCs/>
                <w:i/>
                <w:iCs/>
                <w:sz w:val="16"/>
                <w:szCs w:val="16"/>
                <w:lang w:eastAsia="sv-SE"/>
              </w:rPr>
              <w:t xml:space="preserve">   </w:t>
            </w:r>
          </w:p>
          <w:p w14:paraId="7785F369" w14:textId="65F0CDAF" w:rsidR="00292ECB" w:rsidRPr="006A78A8" w:rsidRDefault="00292ECB" w:rsidP="00166115">
            <w:pPr>
              <w:spacing w:after="0"/>
              <w:rPr>
                <w:rFonts w:eastAsia="Times New Roman"/>
                <w:b/>
                <w:i/>
                <w:sz w:val="16"/>
                <w:szCs w:val="16"/>
                <w:lang w:eastAsia="sv-SE"/>
              </w:rPr>
            </w:pPr>
          </w:p>
        </w:tc>
      </w:tr>
    </w:tbl>
    <w:p w14:paraId="620F8CD3" w14:textId="34110802" w:rsidR="0072645C" w:rsidRDefault="0072645C" w:rsidP="0072645C">
      <w:pPr>
        <w:pStyle w:val="Rubrik3"/>
      </w:pPr>
      <w:r>
        <w:t>Ekonomisk sammanställning för revisionsuppdraget åren 202</w:t>
      </w:r>
      <w:r w:rsidR="00DE031A">
        <w:t>6</w:t>
      </w:r>
      <w:r>
        <w:t>–202</w:t>
      </w:r>
      <w:r w:rsidR="00DE031A">
        <w:t>8</w:t>
      </w:r>
      <w:r w:rsidR="00D40723">
        <w:t xml:space="preserve"> </w:t>
      </w:r>
    </w:p>
    <w:p w14:paraId="099A6FD8" w14:textId="69D152A8" w:rsidR="0072645C" w:rsidRDefault="0072645C" w:rsidP="0072645C">
      <w:r>
        <w:t>Som underlag för fullmäktiges beslut om revisorernas budget redovisas de beräknade ekonomiska konsekvenserna av revision som uppfyller kraven på god revisionssed för verksamhetsåren 202</w:t>
      </w:r>
      <w:r w:rsidR="0067199E">
        <w:t>6</w:t>
      </w:r>
      <w:r>
        <w:t>–202</w:t>
      </w:r>
      <w:r w:rsidR="0067199E">
        <w:t>8</w:t>
      </w:r>
      <w:r>
        <w:t xml:space="preserve">. </w:t>
      </w:r>
    </w:p>
    <w:p w14:paraId="04C1683F" w14:textId="7D803838" w:rsidR="0072645C" w:rsidRDefault="0072645C" w:rsidP="0072645C">
      <w:r>
        <w:t xml:space="preserve">Granskningen utförs genom en kombination av egna yrkesrevisorer och externa konsulter. I huvudsak genomförs granskningen av stadens verksamheter av egen personal medan granskningen av räkenskaper upphandlas från extern byrå. </w:t>
      </w:r>
    </w:p>
    <w:p w14:paraId="5B320988" w14:textId="0BFAB0B1" w:rsidR="00D14531" w:rsidRDefault="00B347CE" w:rsidP="0072645C">
      <w:r>
        <w:t>I uppföljningar som SKR</w:t>
      </w:r>
      <w:r w:rsidR="00D14531">
        <w:t xml:space="preserve"> har g</w:t>
      </w:r>
      <w:r>
        <w:t>enomfört är erfarenheten att den nya standarden för kommunal räkenskapsrevision har</w:t>
      </w:r>
      <w:r w:rsidR="00D14531">
        <w:t xml:space="preserve"> </w:t>
      </w:r>
      <w:r w:rsidR="00CE73BB">
        <w:t xml:space="preserve">generellt </w:t>
      </w:r>
      <w:r>
        <w:t>lett till ökade kostnader för kommunernas och regionernas upphandlade granskning av räkenskaper</w:t>
      </w:r>
      <w:r w:rsidR="00C153B4">
        <w:t xml:space="preserve">, i </w:t>
      </w:r>
      <w:r w:rsidR="00CC1101">
        <w:t xml:space="preserve">många </w:t>
      </w:r>
      <w:r w:rsidR="00C153B4">
        <w:t>fall med 20–25 procent</w:t>
      </w:r>
      <w:r>
        <w:t xml:space="preserve">. </w:t>
      </w:r>
      <w:r w:rsidR="00886C78">
        <w:t>K</w:t>
      </w:r>
      <w:r>
        <w:t>ostnaderna för räkenskapsgranskningen i Göteborgs Stad påverka</w:t>
      </w:r>
      <w:r w:rsidR="00886C78">
        <w:t xml:space="preserve">des inte </w:t>
      </w:r>
      <w:r>
        <w:t xml:space="preserve">nämnvärt </w:t>
      </w:r>
      <w:r w:rsidR="00886C78">
        <w:t>i samband med införandet</w:t>
      </w:r>
      <w:r>
        <w:t xml:space="preserve"> av den nya standarden</w:t>
      </w:r>
      <w:r w:rsidR="00C153B4">
        <w:t xml:space="preserve">, sannolikt för att </w:t>
      </w:r>
      <w:r>
        <w:t xml:space="preserve">införandet </w:t>
      </w:r>
      <w:r w:rsidR="00886C78">
        <w:t xml:space="preserve">skedde </w:t>
      </w:r>
      <w:r>
        <w:t>under en pågående avtalsperiod med tidigare överenskomna villkor och priser.</w:t>
      </w:r>
      <w:r w:rsidR="002F1994">
        <w:t xml:space="preserve"> Inför </w:t>
      </w:r>
      <w:r w:rsidR="00C153B4">
        <w:t xml:space="preserve">budgetäskandet för </w:t>
      </w:r>
      <w:r w:rsidR="002F1994">
        <w:t>2025</w:t>
      </w:r>
      <w:r w:rsidR="00C153B4">
        <w:t xml:space="preserve"> fanns dock en stor osäkerhet om vad kostnaden för räkenskapsrevisionen skulle bli </w:t>
      </w:r>
      <w:r w:rsidR="00E463F6">
        <w:t xml:space="preserve">eftersom </w:t>
      </w:r>
      <w:r w:rsidR="002F1994">
        <w:t xml:space="preserve">en ny upphandling </w:t>
      </w:r>
      <w:r w:rsidR="00C153B4">
        <w:t>s</w:t>
      </w:r>
      <w:r w:rsidR="002F1994">
        <w:t>kulle sk</w:t>
      </w:r>
      <w:r w:rsidR="00C153B4">
        <w:t>e.</w:t>
      </w:r>
      <w:r w:rsidR="002F1994">
        <w:t xml:space="preserve"> </w:t>
      </w:r>
    </w:p>
    <w:p w14:paraId="6355D4D6" w14:textId="649B416F" w:rsidR="00E855FF" w:rsidRDefault="002F1994" w:rsidP="0072645C">
      <w:r>
        <w:t xml:space="preserve">Stadsrevisionen har genomfört en ny upphandling </w:t>
      </w:r>
      <w:r w:rsidR="00E855FF">
        <w:t>för</w:t>
      </w:r>
      <w:r>
        <w:t xml:space="preserve"> revision av stadens räkenskaper för verksamhetsåren </w:t>
      </w:r>
      <w:r w:rsidR="00CE73BB">
        <w:t>2025–2027</w:t>
      </w:r>
      <w:r>
        <w:t xml:space="preserve"> </w:t>
      </w:r>
      <w:r w:rsidR="00CE73BB">
        <w:t>(</w:t>
      </w:r>
      <w:r>
        <w:t>med möjlighet till option 1+1 år</w:t>
      </w:r>
      <w:r w:rsidR="00CE73BB">
        <w:t>)</w:t>
      </w:r>
      <w:r>
        <w:t xml:space="preserve">. </w:t>
      </w:r>
      <w:r w:rsidR="00CE73BB">
        <w:t xml:space="preserve">Det totala </w:t>
      </w:r>
      <w:r w:rsidR="00CE73BB">
        <w:lastRenderedPageBreak/>
        <w:t xml:space="preserve">kontraktsvärdet ligger ungefär i nivå med tidigare gjorda budgetunderlag. </w:t>
      </w:r>
      <w:r w:rsidR="00E855FF">
        <w:t xml:space="preserve">Äskandet för åren 2026 och 2027 ligger därför </w:t>
      </w:r>
      <w:r w:rsidR="00594168">
        <w:t xml:space="preserve">ungefär </w:t>
      </w:r>
      <w:r w:rsidR="00E855FF">
        <w:t>i paritet med föregående års inlämnade 3-</w:t>
      </w:r>
      <w:proofErr w:type="gramStart"/>
      <w:r w:rsidR="00E855FF">
        <w:t>års budget</w:t>
      </w:r>
      <w:proofErr w:type="gramEnd"/>
      <w:r w:rsidR="00E855FF">
        <w:t>.</w:t>
      </w:r>
      <w:r w:rsidR="00292ECB" w:rsidRPr="00292ECB">
        <w:rPr>
          <w:rStyle w:val="Fotnotsreferens"/>
        </w:rPr>
        <w:t xml:space="preserve"> </w:t>
      </w:r>
      <w:r w:rsidR="00292ECB">
        <w:rPr>
          <w:rStyle w:val="Fotnotsreferens"/>
        </w:rPr>
        <w:footnoteReference w:id="1"/>
      </w:r>
      <w:r w:rsidR="00292ECB">
        <w:t xml:space="preserve"> </w:t>
      </w:r>
      <w:r w:rsidR="00292ECB" w:rsidRPr="001830A3">
        <w:t>Kostnaderna för 2026 beräknas bli högre än 2025, där den bakomliggande faktorn är generell kostnadsutveckling i enlighet med PKV</w:t>
      </w:r>
      <w:r w:rsidR="00292ECB">
        <w:t xml:space="preserve"> (prisindex för kommunal verksamhet). För år 2026 äskar revisorerna ett kommunbidrag om 45 219 tkr</w:t>
      </w:r>
      <w:r w:rsidR="007C2C62">
        <w:t>, vilket är en ökning med 3,1 procent jämfört med 2025</w:t>
      </w:r>
      <w:r w:rsidR="00292ECB">
        <w:t>.</w:t>
      </w:r>
    </w:p>
    <w:p w14:paraId="21650D40" w14:textId="2D79F50D" w:rsidR="0072645C" w:rsidRDefault="004246E4" w:rsidP="0072645C">
      <w:r>
        <w:t>B</w:t>
      </w:r>
      <w:r w:rsidR="0072645C">
        <w:t>eloppen i tabellen nedan har beräknats med utgångspunkt i nuvarande uppdrag. Fakturerade intäkter är beräknade med utgångspunkt från utförd revision i Göteborgs Stads bolag</w:t>
      </w:r>
      <w:r w:rsidR="002C195E">
        <w:t xml:space="preserve"> samt i Arkivnämnden. </w:t>
      </w:r>
    </w:p>
    <w:tbl>
      <w:tblPr>
        <w:tblW w:w="7976" w:type="dxa"/>
        <w:tblInd w:w="-48" w:type="dxa"/>
        <w:tblBorders>
          <w:top w:val="single" w:sz="8" w:space="0" w:color="4F81BD"/>
          <w:left w:val="single" w:sz="8" w:space="0" w:color="4F81BD"/>
          <w:bottom w:val="single" w:sz="8" w:space="0" w:color="4F81BD"/>
          <w:right w:val="single" w:sz="8" w:space="0" w:color="4F81BD"/>
        </w:tblBorders>
        <w:tblLayout w:type="fixed"/>
        <w:tblLook w:val="06A0" w:firstRow="1" w:lastRow="0" w:firstColumn="1" w:lastColumn="0" w:noHBand="1" w:noVBand="1"/>
      </w:tblPr>
      <w:tblGrid>
        <w:gridCol w:w="3157"/>
        <w:gridCol w:w="1606"/>
        <w:gridCol w:w="1606"/>
        <w:gridCol w:w="1607"/>
      </w:tblGrid>
      <w:tr w:rsidR="002C195E" w:rsidRPr="00481286" w14:paraId="060ACE61" w14:textId="77777777" w:rsidTr="00166115">
        <w:tc>
          <w:tcPr>
            <w:tcW w:w="3157" w:type="dxa"/>
            <w:tcBorders>
              <w:top w:val="single" w:sz="4" w:space="0" w:color="4472C4"/>
              <w:bottom w:val="single" w:sz="24" w:space="0" w:color="4F81BD"/>
            </w:tcBorders>
            <w:shd w:val="clear" w:color="auto" w:fill="FFFFFF"/>
            <w:noWrap/>
          </w:tcPr>
          <w:p w14:paraId="08B1EDCC" w14:textId="77777777" w:rsidR="002C195E" w:rsidRPr="00A37AC8" w:rsidRDefault="002C195E" w:rsidP="00166115">
            <w:pPr>
              <w:rPr>
                <w:rFonts w:eastAsia="Times New Roman"/>
                <w:b/>
              </w:rPr>
            </w:pPr>
            <w:r>
              <w:rPr>
                <w:rFonts w:ascii="Calibri" w:hAnsi="Calibri" w:cs="Calibri"/>
                <w:noProof/>
                <w:lang w:eastAsia="sv-SE"/>
              </w:rPr>
              <mc:AlternateContent>
                <mc:Choice Requires="wps">
                  <w:drawing>
                    <wp:anchor distT="0" distB="0" distL="114300" distR="114300" simplePos="0" relativeHeight="251663360" behindDoc="1" locked="1" layoutInCell="1" allowOverlap="1" wp14:anchorId="722F968E" wp14:editId="26AFC3FE">
                      <wp:simplePos x="0" y="0"/>
                      <wp:positionH relativeFrom="column">
                        <wp:posOffset>16510</wp:posOffset>
                      </wp:positionH>
                      <wp:positionV relativeFrom="page">
                        <wp:posOffset>7529195</wp:posOffset>
                      </wp:positionV>
                      <wp:extent cx="4508500" cy="1918970"/>
                      <wp:effectExtent l="0" t="4445" r="0" b="63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0" cy="1918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BEECF" w14:textId="77777777" w:rsidR="002C195E" w:rsidRPr="00EF3CA1" w:rsidRDefault="002C195E" w:rsidP="002C195E">
                                  <w:pPr>
                                    <w:pStyle w:val="Ingetavstn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2F968E" id="_x0000_t202" coordsize="21600,21600" o:spt="202" path="m,l,21600r21600,l21600,xe">
                      <v:stroke joinstyle="miter"/>
                      <v:path gradientshapeok="t" o:connecttype="rect"/>
                    </v:shapetype>
                    <v:shape id="Text Box 10" o:spid="_x0000_s1026" type="#_x0000_t202" style="position:absolute;margin-left:1.3pt;margin-top:592.85pt;width:355pt;height:151.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" filled="f" stroked="f">
                      <v:textbox inset="0,0,0,0">
                        <w:txbxContent>
                          <w:p w14:paraId="093BEECF" w14:textId="77777777" w:rsidR="002C195E" w:rsidRPr="00EF3CA1" w:rsidRDefault="002C195E" w:rsidP="002C195E">
                            <w:pPr>
                              <w:pStyle w:val="Ingetavstnd"/>
                            </w:pPr>
                          </w:p>
                        </w:txbxContent>
                      </v:textbox>
                      <w10:wrap anchory="page"/>
                      <w10:anchorlock/>
                    </v:shape>
                  </w:pict>
                </mc:Fallback>
              </mc:AlternateContent>
            </w:r>
            <w:r w:rsidRPr="00A37AC8">
              <w:rPr>
                <w:rFonts w:eastAsia="Times New Roman"/>
                <w:b/>
              </w:rPr>
              <w:t xml:space="preserve">Beräknade ekonomiska </w:t>
            </w:r>
            <w:r>
              <w:rPr>
                <w:rFonts w:eastAsia="Times New Roman"/>
                <w:b/>
              </w:rPr>
              <w:br/>
            </w:r>
            <w:r w:rsidRPr="00A37AC8">
              <w:rPr>
                <w:rFonts w:eastAsia="Times New Roman"/>
                <w:b/>
              </w:rPr>
              <w:t>resurser</w:t>
            </w:r>
          </w:p>
        </w:tc>
        <w:tc>
          <w:tcPr>
            <w:tcW w:w="1606" w:type="dxa"/>
            <w:tcBorders>
              <w:top w:val="single" w:sz="4" w:space="0" w:color="4472C4"/>
              <w:bottom w:val="single" w:sz="24" w:space="0" w:color="4F81BD"/>
            </w:tcBorders>
            <w:shd w:val="clear" w:color="auto" w:fill="FFFFFF"/>
          </w:tcPr>
          <w:p w14:paraId="2CFC6E06" w14:textId="77777777" w:rsidR="002C195E" w:rsidRPr="00A37AC8" w:rsidRDefault="002C195E" w:rsidP="00166115">
            <w:pPr>
              <w:rPr>
                <w:rFonts w:eastAsia="Times New Roman"/>
                <w:b/>
              </w:rPr>
            </w:pPr>
            <w:r w:rsidRPr="00A37AC8">
              <w:rPr>
                <w:rFonts w:eastAsia="Times New Roman"/>
                <w:b/>
              </w:rPr>
              <w:t>202</w:t>
            </w:r>
            <w:r>
              <w:rPr>
                <w:rFonts w:eastAsia="Times New Roman"/>
                <w:b/>
              </w:rPr>
              <w:t>6</w:t>
            </w:r>
            <w:r w:rsidRPr="00A37AC8">
              <w:rPr>
                <w:rFonts w:eastAsia="Times New Roman"/>
                <w:b/>
              </w:rPr>
              <w:t xml:space="preserve"> (tkr)</w:t>
            </w:r>
          </w:p>
        </w:tc>
        <w:tc>
          <w:tcPr>
            <w:tcW w:w="1606" w:type="dxa"/>
            <w:tcBorders>
              <w:top w:val="single" w:sz="4" w:space="0" w:color="4472C4"/>
              <w:bottom w:val="single" w:sz="24" w:space="0" w:color="4F81BD"/>
            </w:tcBorders>
            <w:shd w:val="clear" w:color="auto" w:fill="FFFFFF"/>
          </w:tcPr>
          <w:p w14:paraId="6B159785" w14:textId="77777777" w:rsidR="002C195E" w:rsidRPr="0084789F" w:rsidRDefault="002C195E" w:rsidP="00166115">
            <w:pPr>
              <w:rPr>
                <w:rFonts w:eastAsia="Times New Roman"/>
                <w:b/>
              </w:rPr>
            </w:pPr>
            <w:r w:rsidRPr="0084789F">
              <w:rPr>
                <w:rFonts w:eastAsia="Times New Roman"/>
                <w:b/>
              </w:rPr>
              <w:t>202</w:t>
            </w:r>
            <w:r>
              <w:rPr>
                <w:rFonts w:eastAsia="Times New Roman"/>
                <w:b/>
              </w:rPr>
              <w:t>7</w:t>
            </w:r>
            <w:r w:rsidRPr="0084789F">
              <w:rPr>
                <w:rFonts w:eastAsia="Times New Roman"/>
                <w:b/>
              </w:rPr>
              <w:t xml:space="preserve"> (tkr)</w:t>
            </w:r>
          </w:p>
        </w:tc>
        <w:tc>
          <w:tcPr>
            <w:tcW w:w="1607" w:type="dxa"/>
            <w:tcBorders>
              <w:top w:val="single" w:sz="4" w:space="0" w:color="4472C4"/>
              <w:bottom w:val="single" w:sz="24" w:space="0" w:color="4F81BD"/>
              <w:right w:val="single" w:sz="4" w:space="0" w:color="4472C4"/>
            </w:tcBorders>
            <w:shd w:val="clear" w:color="auto" w:fill="FFFFFF"/>
          </w:tcPr>
          <w:p w14:paraId="3662C420" w14:textId="77777777" w:rsidR="002C195E" w:rsidRPr="0084789F" w:rsidRDefault="002C195E" w:rsidP="00166115">
            <w:pPr>
              <w:rPr>
                <w:rFonts w:eastAsia="Times New Roman"/>
                <w:b/>
              </w:rPr>
            </w:pPr>
            <w:r w:rsidRPr="0084789F">
              <w:rPr>
                <w:rFonts w:eastAsia="Times New Roman"/>
                <w:b/>
              </w:rPr>
              <w:t>202</w:t>
            </w:r>
            <w:r>
              <w:rPr>
                <w:rFonts w:eastAsia="Times New Roman"/>
                <w:b/>
              </w:rPr>
              <w:t>8</w:t>
            </w:r>
            <w:r w:rsidRPr="0084789F">
              <w:rPr>
                <w:rFonts w:eastAsia="Times New Roman"/>
                <w:b/>
              </w:rPr>
              <w:t xml:space="preserve"> (tkr)</w:t>
            </w:r>
          </w:p>
        </w:tc>
      </w:tr>
      <w:tr w:rsidR="002C195E" w:rsidRPr="00481286" w14:paraId="17DDFE06" w14:textId="77777777" w:rsidTr="00166115">
        <w:tc>
          <w:tcPr>
            <w:tcW w:w="3157" w:type="dxa"/>
            <w:tcBorders>
              <w:right w:val="single" w:sz="8" w:space="0" w:color="4F81BD"/>
            </w:tcBorders>
            <w:shd w:val="clear" w:color="auto" w:fill="FFFFFF"/>
            <w:noWrap/>
          </w:tcPr>
          <w:p w14:paraId="679C0F0A" w14:textId="77777777" w:rsidR="002C195E" w:rsidRPr="00A37AC8" w:rsidRDefault="002C195E" w:rsidP="00166115">
            <w:pPr>
              <w:tabs>
                <w:tab w:val="left" w:pos="1080"/>
                <w:tab w:val="left" w:pos="1260"/>
              </w:tabs>
              <w:suppressAutoHyphens/>
              <w:rPr>
                <w:rFonts w:ascii="Times New Roman" w:eastAsia="Times New Roman" w:hAnsi="Times New Roman"/>
                <w:sz w:val="24"/>
              </w:rPr>
            </w:pPr>
            <w:r w:rsidRPr="00A37AC8">
              <w:rPr>
                <w:rFonts w:ascii="Times New Roman" w:eastAsia="Times New Roman" w:hAnsi="Times New Roman"/>
                <w:sz w:val="24"/>
              </w:rPr>
              <w:t>Förtroendevalda revisorer</w:t>
            </w:r>
          </w:p>
        </w:tc>
        <w:tc>
          <w:tcPr>
            <w:tcW w:w="1606" w:type="dxa"/>
            <w:shd w:val="clear" w:color="auto" w:fill="auto"/>
            <w:vAlign w:val="center"/>
          </w:tcPr>
          <w:p w14:paraId="68F9EE7D" w14:textId="77777777" w:rsidR="002C195E" w:rsidRPr="00A37AC8" w:rsidRDefault="002C195E" w:rsidP="00166115">
            <w:pPr>
              <w:tabs>
                <w:tab w:val="left" w:pos="1021"/>
                <w:tab w:val="left" w:pos="1588"/>
              </w:tabs>
              <w:suppressAutoHyphens/>
              <w:ind w:right="605"/>
              <w:jc w:val="right"/>
              <w:rPr>
                <w:rFonts w:ascii="Times New Roman" w:eastAsia="Times New Roman" w:hAnsi="Times New Roman"/>
                <w:sz w:val="24"/>
              </w:rPr>
            </w:pPr>
            <w:r w:rsidRPr="00A37AC8">
              <w:rPr>
                <w:rFonts w:ascii="Times New Roman" w:eastAsia="Times New Roman" w:hAnsi="Times New Roman"/>
                <w:sz w:val="24"/>
              </w:rPr>
              <w:t xml:space="preserve">-3 </w:t>
            </w:r>
            <w:r>
              <w:rPr>
                <w:rFonts w:ascii="Times New Roman" w:eastAsia="Times New Roman" w:hAnsi="Times New Roman"/>
                <w:sz w:val="24"/>
              </w:rPr>
              <w:t>272</w:t>
            </w:r>
          </w:p>
        </w:tc>
        <w:tc>
          <w:tcPr>
            <w:tcW w:w="1606" w:type="dxa"/>
            <w:shd w:val="clear" w:color="auto" w:fill="auto"/>
          </w:tcPr>
          <w:p w14:paraId="573F14EA" w14:textId="77777777" w:rsidR="002C195E" w:rsidRPr="0084789F" w:rsidRDefault="002C195E" w:rsidP="00166115">
            <w:pPr>
              <w:tabs>
                <w:tab w:val="left" w:pos="1021"/>
                <w:tab w:val="left" w:pos="1588"/>
              </w:tabs>
              <w:suppressAutoHyphens/>
              <w:ind w:right="605"/>
              <w:jc w:val="right"/>
              <w:rPr>
                <w:rFonts w:ascii="Times New Roman" w:eastAsia="Times New Roman" w:hAnsi="Times New Roman"/>
                <w:sz w:val="24"/>
              </w:rPr>
            </w:pPr>
            <w:r w:rsidRPr="0084789F">
              <w:rPr>
                <w:rFonts w:ascii="Times New Roman" w:eastAsia="Times New Roman" w:hAnsi="Times New Roman"/>
                <w:sz w:val="24"/>
              </w:rPr>
              <w:t xml:space="preserve">-3 </w:t>
            </w:r>
            <w:r>
              <w:rPr>
                <w:rFonts w:ascii="Times New Roman" w:eastAsia="Times New Roman" w:hAnsi="Times New Roman"/>
                <w:sz w:val="24"/>
              </w:rPr>
              <w:t>367</w:t>
            </w:r>
          </w:p>
        </w:tc>
        <w:tc>
          <w:tcPr>
            <w:tcW w:w="1607" w:type="dxa"/>
            <w:shd w:val="clear" w:color="auto" w:fill="auto"/>
          </w:tcPr>
          <w:p w14:paraId="2A12373E" w14:textId="77777777" w:rsidR="002C195E" w:rsidRPr="0084789F" w:rsidRDefault="002C195E" w:rsidP="00166115">
            <w:pPr>
              <w:tabs>
                <w:tab w:val="left" w:pos="1022"/>
              </w:tabs>
              <w:suppressAutoHyphens/>
              <w:ind w:right="464"/>
              <w:jc w:val="right"/>
              <w:rPr>
                <w:rFonts w:ascii="Times New Roman" w:eastAsia="Times New Roman" w:hAnsi="Times New Roman"/>
                <w:sz w:val="24"/>
              </w:rPr>
            </w:pPr>
            <w:r w:rsidRPr="0084789F">
              <w:rPr>
                <w:rFonts w:ascii="Times New Roman" w:eastAsia="Times New Roman" w:hAnsi="Times New Roman"/>
                <w:sz w:val="24"/>
              </w:rPr>
              <w:t>-3</w:t>
            </w:r>
            <w:r>
              <w:rPr>
                <w:rFonts w:ascii="Times New Roman" w:eastAsia="Times New Roman" w:hAnsi="Times New Roman"/>
                <w:sz w:val="24"/>
              </w:rPr>
              <w:t> 468</w:t>
            </w:r>
          </w:p>
        </w:tc>
      </w:tr>
      <w:tr w:rsidR="002C195E" w:rsidRPr="00481286" w14:paraId="297AFCBD" w14:textId="77777777" w:rsidTr="00166115">
        <w:tc>
          <w:tcPr>
            <w:tcW w:w="3157" w:type="dxa"/>
            <w:tcBorders>
              <w:right w:val="single" w:sz="8" w:space="0" w:color="4F81BD"/>
            </w:tcBorders>
            <w:shd w:val="clear" w:color="auto" w:fill="FFFFFF"/>
            <w:noWrap/>
          </w:tcPr>
          <w:p w14:paraId="3A66DE02" w14:textId="77777777" w:rsidR="002C195E" w:rsidRPr="00A37AC8" w:rsidRDefault="002C195E" w:rsidP="00166115">
            <w:pPr>
              <w:tabs>
                <w:tab w:val="left" w:pos="1080"/>
                <w:tab w:val="left" w:pos="1260"/>
              </w:tabs>
              <w:suppressAutoHyphens/>
              <w:rPr>
                <w:rFonts w:ascii="Times New Roman" w:eastAsia="Times New Roman" w:hAnsi="Times New Roman"/>
                <w:sz w:val="24"/>
              </w:rPr>
            </w:pPr>
            <w:r w:rsidRPr="00A37AC8">
              <w:rPr>
                <w:rFonts w:ascii="Times New Roman" w:eastAsia="Times New Roman" w:hAnsi="Times New Roman"/>
                <w:sz w:val="24"/>
              </w:rPr>
              <w:t>Sakkunnigt biträde</w:t>
            </w:r>
          </w:p>
        </w:tc>
        <w:tc>
          <w:tcPr>
            <w:tcW w:w="1606" w:type="dxa"/>
            <w:shd w:val="clear" w:color="auto" w:fill="auto"/>
            <w:vAlign w:val="center"/>
          </w:tcPr>
          <w:p w14:paraId="175FC48D" w14:textId="77777777" w:rsidR="002C195E" w:rsidRPr="00A37AC8" w:rsidRDefault="002C195E" w:rsidP="00166115">
            <w:pPr>
              <w:tabs>
                <w:tab w:val="left" w:pos="1021"/>
                <w:tab w:val="left" w:pos="1588"/>
              </w:tabs>
              <w:suppressAutoHyphens/>
              <w:ind w:right="605"/>
              <w:jc w:val="right"/>
              <w:rPr>
                <w:rFonts w:ascii="Times New Roman" w:eastAsia="Times New Roman" w:hAnsi="Times New Roman"/>
                <w:sz w:val="24"/>
              </w:rPr>
            </w:pPr>
            <w:r w:rsidRPr="00A37AC8">
              <w:rPr>
                <w:rFonts w:ascii="Times New Roman" w:eastAsia="Times New Roman" w:hAnsi="Times New Roman"/>
                <w:sz w:val="24"/>
              </w:rPr>
              <w:t>-3</w:t>
            </w:r>
            <w:r>
              <w:rPr>
                <w:rFonts w:ascii="Times New Roman" w:eastAsia="Times New Roman" w:hAnsi="Times New Roman"/>
                <w:sz w:val="24"/>
              </w:rPr>
              <w:t xml:space="preserve">9 545 </w:t>
            </w:r>
          </w:p>
        </w:tc>
        <w:tc>
          <w:tcPr>
            <w:tcW w:w="1606" w:type="dxa"/>
            <w:shd w:val="clear" w:color="auto" w:fill="auto"/>
          </w:tcPr>
          <w:p w14:paraId="5004162F" w14:textId="77777777" w:rsidR="002C195E" w:rsidRPr="0084789F" w:rsidRDefault="002C195E" w:rsidP="00166115">
            <w:pPr>
              <w:tabs>
                <w:tab w:val="left" w:pos="1021"/>
                <w:tab w:val="left" w:pos="1588"/>
              </w:tabs>
              <w:suppressAutoHyphens/>
              <w:ind w:right="605"/>
              <w:jc w:val="right"/>
              <w:rPr>
                <w:rFonts w:ascii="Times New Roman" w:eastAsia="Times New Roman" w:hAnsi="Times New Roman"/>
                <w:sz w:val="24"/>
              </w:rPr>
            </w:pPr>
            <w:r w:rsidRPr="0084789F">
              <w:rPr>
                <w:rFonts w:ascii="Times New Roman" w:eastAsia="Times New Roman" w:hAnsi="Times New Roman"/>
                <w:sz w:val="24"/>
              </w:rPr>
              <w:t>-</w:t>
            </w:r>
            <w:r>
              <w:rPr>
                <w:rFonts w:ascii="Times New Roman" w:eastAsia="Times New Roman" w:hAnsi="Times New Roman"/>
                <w:sz w:val="24"/>
              </w:rPr>
              <w:t>40 760</w:t>
            </w:r>
          </w:p>
        </w:tc>
        <w:tc>
          <w:tcPr>
            <w:tcW w:w="1607" w:type="dxa"/>
            <w:shd w:val="clear" w:color="auto" w:fill="auto"/>
          </w:tcPr>
          <w:p w14:paraId="47D3F56C" w14:textId="77777777" w:rsidR="002C195E" w:rsidRPr="0084789F" w:rsidRDefault="002C195E" w:rsidP="00166115">
            <w:pPr>
              <w:tabs>
                <w:tab w:val="left" w:pos="1022"/>
              </w:tabs>
              <w:suppressAutoHyphens/>
              <w:ind w:right="464"/>
              <w:jc w:val="right"/>
              <w:rPr>
                <w:rFonts w:ascii="Times New Roman" w:eastAsia="Times New Roman" w:hAnsi="Times New Roman"/>
                <w:sz w:val="24"/>
              </w:rPr>
            </w:pPr>
            <w:r w:rsidRPr="0084789F">
              <w:rPr>
                <w:rFonts w:ascii="Times New Roman" w:eastAsia="Times New Roman" w:hAnsi="Times New Roman"/>
                <w:sz w:val="24"/>
              </w:rPr>
              <w:t>-</w:t>
            </w:r>
            <w:r>
              <w:rPr>
                <w:rFonts w:ascii="Times New Roman" w:eastAsia="Times New Roman" w:hAnsi="Times New Roman"/>
                <w:sz w:val="24"/>
              </w:rPr>
              <w:t>42 106</w:t>
            </w:r>
          </w:p>
        </w:tc>
      </w:tr>
      <w:tr w:rsidR="002C195E" w:rsidRPr="00481286" w14:paraId="62C30102" w14:textId="77777777" w:rsidTr="00166115">
        <w:tc>
          <w:tcPr>
            <w:tcW w:w="3157" w:type="dxa"/>
            <w:tcBorders>
              <w:right w:val="single" w:sz="8" w:space="0" w:color="4F81BD"/>
            </w:tcBorders>
            <w:shd w:val="clear" w:color="auto" w:fill="FFFFFF"/>
            <w:noWrap/>
          </w:tcPr>
          <w:p w14:paraId="6E3EA397" w14:textId="77777777" w:rsidR="002C195E" w:rsidRPr="00A37AC8" w:rsidRDefault="002C195E" w:rsidP="00166115">
            <w:pPr>
              <w:tabs>
                <w:tab w:val="left" w:pos="1080"/>
                <w:tab w:val="left" w:pos="1260"/>
              </w:tabs>
              <w:suppressAutoHyphens/>
              <w:rPr>
                <w:rFonts w:ascii="Times New Roman" w:eastAsia="Times New Roman" w:hAnsi="Times New Roman"/>
                <w:sz w:val="24"/>
              </w:rPr>
            </w:pPr>
            <w:r w:rsidRPr="00A37AC8">
              <w:rPr>
                <w:rFonts w:ascii="Times New Roman" w:eastAsia="Times New Roman" w:hAnsi="Times New Roman"/>
                <w:sz w:val="24"/>
              </w:rPr>
              <w:t>Övriga kostnader</w:t>
            </w:r>
          </w:p>
        </w:tc>
        <w:tc>
          <w:tcPr>
            <w:tcW w:w="1606" w:type="dxa"/>
            <w:shd w:val="clear" w:color="auto" w:fill="auto"/>
            <w:vAlign w:val="center"/>
          </w:tcPr>
          <w:p w14:paraId="7416DC40" w14:textId="77777777" w:rsidR="002C195E" w:rsidRPr="00A37AC8" w:rsidRDefault="002C195E" w:rsidP="00166115">
            <w:pPr>
              <w:tabs>
                <w:tab w:val="left" w:pos="1021"/>
                <w:tab w:val="left" w:pos="1588"/>
              </w:tabs>
              <w:suppressAutoHyphens/>
              <w:ind w:right="605"/>
              <w:jc w:val="right"/>
              <w:rPr>
                <w:rFonts w:ascii="Times New Roman" w:eastAsia="Times New Roman" w:hAnsi="Times New Roman"/>
                <w:sz w:val="24"/>
              </w:rPr>
            </w:pPr>
            <w:r w:rsidRPr="00A37AC8">
              <w:rPr>
                <w:rFonts w:ascii="Times New Roman" w:eastAsia="Times New Roman" w:hAnsi="Times New Roman"/>
                <w:sz w:val="24"/>
              </w:rPr>
              <w:t>-</w:t>
            </w:r>
            <w:r>
              <w:rPr>
                <w:rFonts w:ascii="Times New Roman" w:eastAsia="Times New Roman" w:hAnsi="Times New Roman"/>
                <w:sz w:val="24"/>
              </w:rPr>
              <w:t>8</w:t>
            </w:r>
            <w:r w:rsidRPr="00A37AC8">
              <w:rPr>
                <w:rFonts w:ascii="Times New Roman" w:eastAsia="Times New Roman" w:hAnsi="Times New Roman"/>
                <w:sz w:val="24"/>
              </w:rPr>
              <w:t xml:space="preserve"> </w:t>
            </w:r>
            <w:r>
              <w:rPr>
                <w:rFonts w:ascii="Times New Roman" w:eastAsia="Times New Roman" w:hAnsi="Times New Roman"/>
                <w:sz w:val="24"/>
              </w:rPr>
              <w:t>240</w:t>
            </w:r>
          </w:p>
        </w:tc>
        <w:tc>
          <w:tcPr>
            <w:tcW w:w="1606" w:type="dxa"/>
            <w:shd w:val="clear" w:color="auto" w:fill="auto"/>
          </w:tcPr>
          <w:p w14:paraId="2C0C81F5" w14:textId="77777777" w:rsidR="002C195E" w:rsidRPr="0084789F" w:rsidRDefault="002C195E" w:rsidP="00166115">
            <w:pPr>
              <w:tabs>
                <w:tab w:val="left" w:pos="1021"/>
                <w:tab w:val="left" w:pos="1588"/>
              </w:tabs>
              <w:suppressAutoHyphens/>
              <w:ind w:right="605"/>
              <w:jc w:val="right"/>
              <w:rPr>
                <w:rFonts w:ascii="Times New Roman" w:eastAsia="Times New Roman" w:hAnsi="Times New Roman"/>
                <w:sz w:val="24"/>
              </w:rPr>
            </w:pPr>
            <w:r w:rsidRPr="0084789F">
              <w:rPr>
                <w:rFonts w:ascii="Times New Roman" w:eastAsia="Times New Roman" w:hAnsi="Times New Roman"/>
                <w:sz w:val="24"/>
              </w:rPr>
              <w:t>-</w:t>
            </w:r>
            <w:r>
              <w:rPr>
                <w:rFonts w:ascii="Times New Roman" w:eastAsia="Times New Roman" w:hAnsi="Times New Roman"/>
                <w:sz w:val="24"/>
              </w:rPr>
              <w:t>8</w:t>
            </w:r>
            <w:r w:rsidRPr="0084789F">
              <w:rPr>
                <w:rFonts w:ascii="Times New Roman" w:eastAsia="Times New Roman" w:hAnsi="Times New Roman"/>
                <w:sz w:val="24"/>
              </w:rPr>
              <w:t xml:space="preserve"> </w:t>
            </w:r>
            <w:r>
              <w:rPr>
                <w:rFonts w:ascii="Times New Roman" w:eastAsia="Times New Roman" w:hAnsi="Times New Roman"/>
                <w:sz w:val="24"/>
              </w:rPr>
              <w:t>483</w:t>
            </w:r>
          </w:p>
        </w:tc>
        <w:tc>
          <w:tcPr>
            <w:tcW w:w="1607" w:type="dxa"/>
            <w:shd w:val="clear" w:color="auto" w:fill="auto"/>
          </w:tcPr>
          <w:p w14:paraId="76E24D79" w14:textId="77777777" w:rsidR="002C195E" w:rsidRPr="0084789F" w:rsidRDefault="002C195E" w:rsidP="00166115">
            <w:pPr>
              <w:tabs>
                <w:tab w:val="left" w:pos="1022"/>
              </w:tabs>
              <w:suppressAutoHyphens/>
              <w:ind w:right="464"/>
              <w:jc w:val="right"/>
              <w:rPr>
                <w:rFonts w:ascii="Times New Roman" w:eastAsia="Times New Roman" w:hAnsi="Times New Roman"/>
                <w:sz w:val="24"/>
              </w:rPr>
            </w:pPr>
            <w:r w:rsidRPr="0084789F">
              <w:rPr>
                <w:rFonts w:eastAsia="Times New Roman"/>
              </w:rPr>
              <w:t xml:space="preserve">    -</w:t>
            </w:r>
            <w:r>
              <w:rPr>
                <w:rFonts w:ascii="Times New Roman" w:eastAsia="Times New Roman" w:hAnsi="Times New Roman"/>
                <w:sz w:val="24"/>
              </w:rPr>
              <w:t>8 683</w:t>
            </w:r>
          </w:p>
        </w:tc>
      </w:tr>
      <w:tr w:rsidR="002C195E" w:rsidRPr="00481286" w14:paraId="29318223" w14:textId="77777777" w:rsidTr="00166115">
        <w:tc>
          <w:tcPr>
            <w:tcW w:w="3157" w:type="dxa"/>
            <w:tcBorders>
              <w:right w:val="single" w:sz="8" w:space="0" w:color="4F81BD"/>
            </w:tcBorders>
            <w:shd w:val="clear" w:color="auto" w:fill="FFFFFF"/>
            <w:noWrap/>
          </w:tcPr>
          <w:p w14:paraId="6E0A92D9" w14:textId="77777777" w:rsidR="002C195E" w:rsidRPr="00A37AC8" w:rsidRDefault="002C195E" w:rsidP="00166115">
            <w:pPr>
              <w:rPr>
                <w:rFonts w:ascii="Times New Roman" w:eastAsia="Times New Roman" w:hAnsi="Times New Roman"/>
                <w:b/>
                <w:sz w:val="24"/>
              </w:rPr>
            </w:pPr>
            <w:r w:rsidRPr="00A37AC8">
              <w:rPr>
                <w:rFonts w:ascii="Times New Roman" w:eastAsia="Times New Roman" w:hAnsi="Times New Roman"/>
                <w:b/>
                <w:sz w:val="24"/>
              </w:rPr>
              <w:t>Summa kostnader</w:t>
            </w:r>
          </w:p>
        </w:tc>
        <w:tc>
          <w:tcPr>
            <w:tcW w:w="1606" w:type="dxa"/>
            <w:shd w:val="clear" w:color="auto" w:fill="auto"/>
            <w:vAlign w:val="center"/>
          </w:tcPr>
          <w:p w14:paraId="26B088F8" w14:textId="77777777" w:rsidR="002C195E" w:rsidRPr="00A37AC8" w:rsidRDefault="002C195E" w:rsidP="00166115">
            <w:pPr>
              <w:tabs>
                <w:tab w:val="left" w:pos="1021"/>
                <w:tab w:val="left" w:pos="1588"/>
              </w:tabs>
              <w:suppressAutoHyphens/>
              <w:ind w:right="605"/>
              <w:jc w:val="right"/>
              <w:rPr>
                <w:rFonts w:ascii="Times New Roman" w:eastAsia="Times New Roman" w:hAnsi="Times New Roman"/>
                <w:b/>
                <w:sz w:val="24"/>
              </w:rPr>
            </w:pPr>
            <w:r w:rsidRPr="00A37AC8">
              <w:rPr>
                <w:rFonts w:ascii="Times New Roman" w:eastAsia="Times New Roman" w:hAnsi="Times New Roman"/>
                <w:b/>
                <w:sz w:val="24"/>
              </w:rPr>
              <w:t>-</w:t>
            </w:r>
            <w:r>
              <w:rPr>
                <w:rFonts w:ascii="Times New Roman" w:eastAsia="Times New Roman" w:hAnsi="Times New Roman"/>
                <w:b/>
                <w:sz w:val="24"/>
              </w:rPr>
              <w:t>51 057</w:t>
            </w:r>
          </w:p>
        </w:tc>
        <w:tc>
          <w:tcPr>
            <w:tcW w:w="1606" w:type="dxa"/>
            <w:shd w:val="clear" w:color="auto" w:fill="auto"/>
          </w:tcPr>
          <w:p w14:paraId="5D834891" w14:textId="77777777" w:rsidR="002C195E" w:rsidRPr="0084789F" w:rsidRDefault="002C195E" w:rsidP="00166115">
            <w:pPr>
              <w:tabs>
                <w:tab w:val="left" w:pos="1021"/>
                <w:tab w:val="left" w:pos="1588"/>
              </w:tabs>
              <w:suppressAutoHyphens/>
              <w:ind w:right="605"/>
              <w:jc w:val="right"/>
              <w:rPr>
                <w:rFonts w:ascii="Times New Roman" w:eastAsia="Times New Roman" w:hAnsi="Times New Roman"/>
                <w:b/>
                <w:sz w:val="24"/>
              </w:rPr>
            </w:pPr>
            <w:r w:rsidRPr="0084789F">
              <w:rPr>
                <w:rFonts w:ascii="Times New Roman" w:eastAsia="Times New Roman" w:hAnsi="Times New Roman"/>
                <w:b/>
                <w:sz w:val="24"/>
              </w:rPr>
              <w:t>-</w:t>
            </w:r>
            <w:r>
              <w:rPr>
                <w:rFonts w:ascii="Times New Roman" w:eastAsia="Times New Roman" w:hAnsi="Times New Roman"/>
                <w:b/>
                <w:sz w:val="24"/>
              </w:rPr>
              <w:t>52 610</w:t>
            </w:r>
          </w:p>
        </w:tc>
        <w:tc>
          <w:tcPr>
            <w:tcW w:w="1607" w:type="dxa"/>
            <w:shd w:val="clear" w:color="auto" w:fill="auto"/>
          </w:tcPr>
          <w:p w14:paraId="1083BE8B" w14:textId="77777777" w:rsidR="002C195E" w:rsidRPr="0084789F" w:rsidRDefault="002C195E" w:rsidP="00166115">
            <w:pPr>
              <w:tabs>
                <w:tab w:val="left" w:pos="1164"/>
              </w:tabs>
              <w:suppressAutoHyphens/>
              <w:ind w:right="317"/>
              <w:rPr>
                <w:rFonts w:ascii="Times New Roman" w:eastAsia="Times New Roman" w:hAnsi="Times New Roman"/>
                <w:b/>
                <w:sz w:val="24"/>
              </w:rPr>
            </w:pPr>
            <w:r w:rsidRPr="0084789F">
              <w:rPr>
                <w:rFonts w:ascii="Times New Roman" w:eastAsia="Times New Roman" w:hAnsi="Times New Roman"/>
                <w:b/>
                <w:sz w:val="24"/>
              </w:rPr>
              <w:t xml:space="preserve">   -</w:t>
            </w:r>
            <w:r>
              <w:rPr>
                <w:rFonts w:ascii="Times New Roman" w:eastAsia="Times New Roman" w:hAnsi="Times New Roman"/>
                <w:b/>
                <w:sz w:val="24"/>
              </w:rPr>
              <w:t>54 257</w:t>
            </w:r>
          </w:p>
        </w:tc>
      </w:tr>
      <w:tr w:rsidR="002C195E" w:rsidRPr="00481286" w14:paraId="5BE93F12" w14:textId="77777777" w:rsidTr="00166115">
        <w:tc>
          <w:tcPr>
            <w:tcW w:w="3157" w:type="dxa"/>
            <w:tcBorders>
              <w:right w:val="single" w:sz="8" w:space="0" w:color="4F81BD"/>
            </w:tcBorders>
            <w:shd w:val="clear" w:color="auto" w:fill="FFFFFF"/>
            <w:noWrap/>
          </w:tcPr>
          <w:p w14:paraId="6B5A2F8F" w14:textId="77777777" w:rsidR="002C195E" w:rsidRPr="00A37AC8" w:rsidRDefault="002C195E" w:rsidP="00166115">
            <w:pPr>
              <w:rPr>
                <w:rFonts w:ascii="Times New Roman" w:eastAsia="Times New Roman" w:hAnsi="Times New Roman"/>
                <w:bCs/>
                <w:sz w:val="24"/>
              </w:rPr>
            </w:pPr>
            <w:r w:rsidRPr="00A37AC8">
              <w:rPr>
                <w:rFonts w:ascii="Times New Roman" w:eastAsia="Times New Roman" w:hAnsi="Times New Roman"/>
                <w:bCs/>
                <w:sz w:val="24"/>
              </w:rPr>
              <w:t>Fakturerade intäkter</w:t>
            </w:r>
          </w:p>
        </w:tc>
        <w:tc>
          <w:tcPr>
            <w:tcW w:w="1606" w:type="dxa"/>
            <w:shd w:val="clear" w:color="auto" w:fill="auto"/>
            <w:vAlign w:val="center"/>
          </w:tcPr>
          <w:p w14:paraId="7DDF7FA6" w14:textId="77777777" w:rsidR="002C195E" w:rsidRPr="00A37AC8" w:rsidRDefault="002C195E" w:rsidP="00166115">
            <w:pPr>
              <w:tabs>
                <w:tab w:val="left" w:pos="1021"/>
                <w:tab w:val="left" w:pos="1588"/>
              </w:tabs>
              <w:suppressAutoHyphens/>
              <w:ind w:right="605"/>
              <w:jc w:val="right"/>
              <w:rPr>
                <w:rFonts w:ascii="Times New Roman" w:eastAsia="Times New Roman" w:hAnsi="Times New Roman"/>
                <w:bCs/>
                <w:sz w:val="24"/>
              </w:rPr>
            </w:pPr>
            <w:r w:rsidRPr="00A37AC8">
              <w:rPr>
                <w:rFonts w:ascii="Times New Roman" w:eastAsia="Times New Roman" w:hAnsi="Times New Roman"/>
                <w:bCs/>
                <w:sz w:val="24"/>
              </w:rPr>
              <w:t xml:space="preserve">5 </w:t>
            </w:r>
            <w:r>
              <w:rPr>
                <w:rFonts w:ascii="Times New Roman" w:eastAsia="Times New Roman" w:hAnsi="Times New Roman"/>
                <w:bCs/>
                <w:sz w:val="24"/>
              </w:rPr>
              <w:t>947</w:t>
            </w:r>
          </w:p>
        </w:tc>
        <w:tc>
          <w:tcPr>
            <w:tcW w:w="1606" w:type="dxa"/>
            <w:shd w:val="clear" w:color="auto" w:fill="auto"/>
          </w:tcPr>
          <w:p w14:paraId="02310981" w14:textId="77777777" w:rsidR="002C195E" w:rsidRPr="0084789F" w:rsidRDefault="002C195E" w:rsidP="00166115">
            <w:pPr>
              <w:tabs>
                <w:tab w:val="left" w:pos="1021"/>
                <w:tab w:val="left" w:pos="1588"/>
              </w:tabs>
              <w:suppressAutoHyphens/>
              <w:ind w:right="605"/>
              <w:jc w:val="right"/>
              <w:rPr>
                <w:rFonts w:ascii="Times New Roman" w:eastAsia="Times New Roman" w:hAnsi="Times New Roman"/>
                <w:bCs/>
                <w:sz w:val="24"/>
              </w:rPr>
            </w:pPr>
            <w:r>
              <w:rPr>
                <w:rFonts w:ascii="Times New Roman" w:eastAsia="Times New Roman" w:hAnsi="Times New Roman"/>
                <w:bCs/>
                <w:sz w:val="24"/>
              </w:rPr>
              <w:t>6 102</w:t>
            </w:r>
          </w:p>
        </w:tc>
        <w:tc>
          <w:tcPr>
            <w:tcW w:w="1607" w:type="dxa"/>
            <w:shd w:val="clear" w:color="auto" w:fill="auto"/>
          </w:tcPr>
          <w:p w14:paraId="2E4659A1" w14:textId="77777777" w:rsidR="002C195E" w:rsidRPr="0084789F" w:rsidRDefault="002C195E" w:rsidP="00166115">
            <w:pPr>
              <w:tabs>
                <w:tab w:val="left" w:pos="887"/>
              </w:tabs>
              <w:suppressAutoHyphens/>
              <w:ind w:right="464"/>
              <w:jc w:val="right"/>
              <w:rPr>
                <w:rFonts w:ascii="Times New Roman" w:eastAsia="Times New Roman" w:hAnsi="Times New Roman"/>
                <w:bCs/>
                <w:sz w:val="24"/>
              </w:rPr>
            </w:pPr>
            <w:r>
              <w:rPr>
                <w:rFonts w:ascii="Times New Roman" w:eastAsia="Times New Roman" w:hAnsi="Times New Roman"/>
                <w:bCs/>
                <w:sz w:val="24"/>
              </w:rPr>
              <w:t>6 261</w:t>
            </w:r>
          </w:p>
        </w:tc>
      </w:tr>
      <w:tr w:rsidR="002C195E" w:rsidRPr="00481286" w14:paraId="70A48282" w14:textId="77777777" w:rsidTr="00166115">
        <w:tc>
          <w:tcPr>
            <w:tcW w:w="3157" w:type="dxa"/>
            <w:tcBorders>
              <w:right w:val="single" w:sz="8" w:space="0" w:color="4F81BD"/>
            </w:tcBorders>
            <w:shd w:val="clear" w:color="auto" w:fill="FFFFFF"/>
            <w:noWrap/>
          </w:tcPr>
          <w:p w14:paraId="1E256E42" w14:textId="77777777" w:rsidR="002C195E" w:rsidRPr="00A37AC8" w:rsidRDefault="002C195E" w:rsidP="00166115">
            <w:pPr>
              <w:rPr>
                <w:rFonts w:ascii="Times New Roman" w:eastAsia="Times New Roman" w:hAnsi="Times New Roman"/>
                <w:bCs/>
                <w:sz w:val="24"/>
              </w:rPr>
            </w:pPr>
            <w:r w:rsidRPr="00A37AC8">
              <w:rPr>
                <w:rFonts w:ascii="Times New Roman" w:eastAsia="Times New Roman" w:hAnsi="Times New Roman"/>
                <w:bCs/>
                <w:sz w:val="24"/>
              </w:rPr>
              <w:t>Beräknat kommunbidrag</w:t>
            </w:r>
          </w:p>
          <w:p w14:paraId="1D038FDA" w14:textId="77777777" w:rsidR="002C195E" w:rsidRPr="00A37AC8" w:rsidRDefault="002C195E" w:rsidP="00166115">
            <w:pPr>
              <w:rPr>
                <w:rFonts w:ascii="Times New Roman" w:eastAsia="Times New Roman" w:hAnsi="Times New Roman"/>
                <w:b/>
                <w:sz w:val="24"/>
              </w:rPr>
            </w:pPr>
            <w:r w:rsidRPr="00A37AC8">
              <w:rPr>
                <w:rFonts w:ascii="Times New Roman" w:eastAsia="Times New Roman" w:hAnsi="Times New Roman"/>
                <w:b/>
                <w:sz w:val="24"/>
              </w:rPr>
              <w:t>Summa intäkter</w:t>
            </w:r>
          </w:p>
          <w:p w14:paraId="2CB268AD" w14:textId="77777777" w:rsidR="002C195E" w:rsidRPr="00A37AC8" w:rsidRDefault="002C195E" w:rsidP="00166115">
            <w:pPr>
              <w:rPr>
                <w:bCs/>
              </w:rPr>
            </w:pPr>
            <w:r w:rsidRPr="00A37AC8">
              <w:rPr>
                <w:rFonts w:ascii="Times New Roman" w:eastAsia="Times New Roman" w:hAnsi="Times New Roman"/>
                <w:b/>
                <w:sz w:val="24"/>
              </w:rPr>
              <w:t>Årets resultat</w:t>
            </w:r>
          </w:p>
        </w:tc>
        <w:tc>
          <w:tcPr>
            <w:tcW w:w="1606" w:type="dxa"/>
            <w:shd w:val="clear" w:color="auto" w:fill="auto"/>
            <w:vAlign w:val="center"/>
          </w:tcPr>
          <w:p w14:paraId="53667D74" w14:textId="77777777" w:rsidR="002C195E" w:rsidRPr="00BC581B" w:rsidRDefault="002C195E" w:rsidP="00166115">
            <w:pPr>
              <w:rPr>
                <w:rFonts w:ascii="Times New Roman" w:eastAsia="Times New Roman" w:hAnsi="Times New Roman" w:cs="Times New Roman"/>
                <w:sz w:val="24"/>
              </w:rPr>
            </w:pPr>
            <w:r w:rsidRPr="00BC581B">
              <w:rPr>
                <w:rFonts w:ascii="Times New Roman" w:eastAsia="Times New Roman" w:hAnsi="Times New Roman" w:cs="Times New Roman"/>
                <w:sz w:val="24"/>
              </w:rPr>
              <w:t xml:space="preserve">  4</w:t>
            </w:r>
            <w:r>
              <w:rPr>
                <w:rFonts w:ascii="Times New Roman" w:eastAsia="Times New Roman" w:hAnsi="Times New Roman" w:cs="Times New Roman"/>
                <w:sz w:val="24"/>
              </w:rPr>
              <w:t>5 109</w:t>
            </w:r>
          </w:p>
          <w:p w14:paraId="1DE7A55B" w14:textId="77777777" w:rsidR="002C195E" w:rsidRPr="00BC581B" w:rsidRDefault="002C195E" w:rsidP="00166115">
            <w:pPr>
              <w:tabs>
                <w:tab w:val="left" w:pos="1021"/>
                <w:tab w:val="left" w:pos="1588"/>
              </w:tabs>
              <w:suppressAutoHyphens/>
              <w:ind w:right="605"/>
              <w:jc w:val="right"/>
              <w:rPr>
                <w:rFonts w:ascii="Times New Roman" w:eastAsia="Times New Roman" w:hAnsi="Times New Roman" w:cs="Times New Roman"/>
                <w:b/>
                <w:sz w:val="24"/>
              </w:rPr>
            </w:pPr>
            <w:r w:rsidRPr="00BC581B">
              <w:rPr>
                <w:rFonts w:ascii="Times New Roman" w:eastAsia="Times New Roman" w:hAnsi="Times New Roman" w:cs="Times New Roman"/>
                <w:b/>
                <w:sz w:val="24"/>
              </w:rPr>
              <w:t xml:space="preserve">  </w:t>
            </w:r>
            <w:r>
              <w:rPr>
                <w:rFonts w:ascii="Times New Roman" w:eastAsia="Times New Roman" w:hAnsi="Times New Roman" w:cs="Times New Roman"/>
                <w:b/>
                <w:sz w:val="24"/>
              </w:rPr>
              <w:t>51 057</w:t>
            </w:r>
            <w:r w:rsidRPr="00BC581B">
              <w:rPr>
                <w:rFonts w:ascii="Times New Roman" w:eastAsia="Times New Roman" w:hAnsi="Times New Roman" w:cs="Times New Roman"/>
                <w:b/>
                <w:sz w:val="24"/>
              </w:rPr>
              <w:t xml:space="preserve">          </w:t>
            </w:r>
          </w:p>
          <w:p w14:paraId="5ABF6235" w14:textId="77777777" w:rsidR="002C195E" w:rsidRPr="00BC581B" w:rsidRDefault="002C195E" w:rsidP="00166115">
            <w:pPr>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0</w:t>
            </w:r>
          </w:p>
        </w:tc>
        <w:tc>
          <w:tcPr>
            <w:tcW w:w="1606" w:type="dxa"/>
            <w:shd w:val="clear" w:color="auto" w:fill="auto"/>
          </w:tcPr>
          <w:p w14:paraId="7B277666" w14:textId="77777777" w:rsidR="002C195E" w:rsidRPr="00BC581B" w:rsidRDefault="002C195E" w:rsidP="00166115">
            <w:pPr>
              <w:rPr>
                <w:rFonts w:ascii="Times New Roman" w:eastAsia="Times New Roman" w:hAnsi="Times New Roman" w:cs="Times New Roman"/>
                <w:sz w:val="24"/>
              </w:rPr>
            </w:pPr>
            <w:r w:rsidRPr="00BC581B">
              <w:rPr>
                <w:rFonts w:ascii="Times New Roman" w:eastAsia="Times New Roman" w:hAnsi="Times New Roman" w:cs="Times New Roman"/>
                <w:sz w:val="24"/>
              </w:rPr>
              <w:t xml:space="preserve">  4</w:t>
            </w:r>
            <w:r>
              <w:rPr>
                <w:rFonts w:ascii="Times New Roman" w:eastAsia="Times New Roman" w:hAnsi="Times New Roman" w:cs="Times New Roman"/>
                <w:sz w:val="24"/>
              </w:rPr>
              <w:t>6 508</w:t>
            </w:r>
          </w:p>
          <w:p w14:paraId="33F61D84" w14:textId="77777777" w:rsidR="002C195E" w:rsidRPr="00BC581B" w:rsidRDefault="002C195E" w:rsidP="00166115">
            <w:pPr>
              <w:tabs>
                <w:tab w:val="left" w:pos="1021"/>
                <w:tab w:val="left" w:pos="1588"/>
              </w:tabs>
              <w:suppressAutoHyphens/>
              <w:ind w:right="605"/>
              <w:jc w:val="right"/>
              <w:rPr>
                <w:rFonts w:ascii="Times New Roman" w:eastAsia="Times New Roman" w:hAnsi="Times New Roman" w:cs="Times New Roman"/>
                <w:b/>
                <w:sz w:val="24"/>
              </w:rPr>
            </w:pPr>
            <w:r w:rsidRPr="00BC581B">
              <w:rPr>
                <w:rFonts w:ascii="Times New Roman" w:eastAsia="Times New Roman" w:hAnsi="Times New Roman" w:cs="Times New Roman"/>
                <w:sz w:val="24"/>
              </w:rPr>
              <w:t xml:space="preserve">  </w:t>
            </w:r>
            <w:r>
              <w:rPr>
                <w:rFonts w:ascii="Times New Roman" w:eastAsia="Times New Roman" w:hAnsi="Times New Roman" w:cs="Times New Roman"/>
                <w:b/>
                <w:sz w:val="24"/>
              </w:rPr>
              <w:t>52 610</w:t>
            </w:r>
          </w:p>
          <w:p w14:paraId="03D7318A" w14:textId="77777777" w:rsidR="002C195E" w:rsidRPr="00BC581B" w:rsidRDefault="002C195E" w:rsidP="00166115">
            <w:pPr>
              <w:rPr>
                <w:rFonts w:ascii="Times New Roman" w:hAnsi="Times New Roman" w:cs="Times New Roman"/>
                <w:b/>
                <w:sz w:val="24"/>
              </w:rPr>
            </w:pPr>
            <w:r w:rsidRPr="00BC581B">
              <w:rPr>
                <w:rFonts w:ascii="Times New Roman" w:hAnsi="Times New Roman" w:cs="Times New Roman"/>
                <w:b/>
                <w:sz w:val="24"/>
              </w:rPr>
              <w:t xml:space="preserve">           0</w:t>
            </w:r>
          </w:p>
        </w:tc>
        <w:tc>
          <w:tcPr>
            <w:tcW w:w="1607" w:type="dxa"/>
            <w:shd w:val="clear" w:color="auto" w:fill="auto"/>
          </w:tcPr>
          <w:p w14:paraId="719433C7" w14:textId="77777777" w:rsidR="002C195E" w:rsidRPr="00BC581B" w:rsidRDefault="002C195E" w:rsidP="00166115">
            <w:pPr>
              <w:rPr>
                <w:rFonts w:ascii="Times New Roman" w:eastAsia="Times New Roman" w:hAnsi="Times New Roman" w:cs="Times New Roman"/>
                <w:sz w:val="24"/>
              </w:rPr>
            </w:pPr>
            <w:r w:rsidRPr="00BC581B">
              <w:rPr>
                <w:rFonts w:ascii="Times New Roman" w:eastAsia="Times New Roman" w:hAnsi="Times New Roman" w:cs="Times New Roman"/>
                <w:sz w:val="24"/>
              </w:rPr>
              <w:t xml:space="preserve">    </w:t>
            </w:r>
            <w:r>
              <w:rPr>
                <w:rFonts w:ascii="Times New Roman" w:eastAsia="Times New Roman" w:hAnsi="Times New Roman" w:cs="Times New Roman"/>
                <w:sz w:val="24"/>
              </w:rPr>
              <w:t>47 996</w:t>
            </w:r>
          </w:p>
          <w:p w14:paraId="5D933F6B" w14:textId="77777777" w:rsidR="002C195E" w:rsidRPr="00BC581B" w:rsidRDefault="002C195E" w:rsidP="00166115">
            <w:pPr>
              <w:rPr>
                <w:rFonts w:ascii="Times New Roman" w:eastAsia="Times New Roman" w:hAnsi="Times New Roman" w:cs="Times New Roman"/>
                <w:b/>
                <w:sz w:val="24"/>
              </w:rPr>
            </w:pPr>
            <w:r w:rsidRPr="00BC581B">
              <w:rPr>
                <w:rFonts w:ascii="Times New Roman" w:hAnsi="Times New Roman" w:cs="Times New Roman"/>
                <w:sz w:val="24"/>
              </w:rPr>
              <w:t xml:space="preserve">    </w:t>
            </w:r>
            <w:r w:rsidRPr="00BC581B">
              <w:rPr>
                <w:rFonts w:ascii="Times New Roman" w:eastAsia="Times New Roman" w:hAnsi="Times New Roman" w:cs="Times New Roman"/>
                <w:b/>
                <w:sz w:val="24"/>
              </w:rPr>
              <w:t>5</w:t>
            </w:r>
            <w:r>
              <w:rPr>
                <w:rFonts w:ascii="Times New Roman" w:eastAsia="Times New Roman" w:hAnsi="Times New Roman" w:cs="Times New Roman"/>
                <w:b/>
                <w:sz w:val="24"/>
              </w:rPr>
              <w:t>4 257</w:t>
            </w:r>
          </w:p>
          <w:p w14:paraId="74F4DBE3" w14:textId="77777777" w:rsidR="002C195E" w:rsidRPr="00BC581B" w:rsidRDefault="002C195E" w:rsidP="00166115">
            <w:pPr>
              <w:rPr>
                <w:rFonts w:ascii="Times New Roman" w:hAnsi="Times New Roman" w:cs="Times New Roman"/>
                <w:sz w:val="24"/>
              </w:rPr>
            </w:pPr>
            <w:r w:rsidRPr="00BC581B">
              <w:rPr>
                <w:rFonts w:ascii="Times New Roman" w:hAnsi="Times New Roman" w:cs="Times New Roman"/>
                <w:b/>
                <w:sz w:val="24"/>
              </w:rPr>
              <w:t xml:space="preserve">             0</w:t>
            </w:r>
          </w:p>
        </w:tc>
      </w:tr>
    </w:tbl>
    <w:p w14:paraId="606AB864" w14:textId="77777777" w:rsidR="00E855FF" w:rsidRDefault="00E855FF" w:rsidP="0072645C"/>
    <w:p w14:paraId="60030656" w14:textId="77777777" w:rsidR="00E855FF" w:rsidRDefault="00E855FF" w:rsidP="0072645C"/>
    <w:p w14:paraId="12667791" w14:textId="77777777" w:rsidR="0072645C" w:rsidRPr="0072645C" w:rsidRDefault="0072645C" w:rsidP="0072645C"/>
    <w:sectPr w:rsidR="0072645C" w:rsidRPr="0072645C" w:rsidSect="00BA1320">
      <w:headerReference w:type="even" r:id="rId8"/>
      <w:headerReference w:type="default" r:id="rId9"/>
      <w:footerReference w:type="even" r:id="rId10"/>
      <w:footerReference w:type="default" r:id="rId11"/>
      <w:headerReference w:type="first" r:id="rId12"/>
      <w:footerReference w:type="first" r:id="rId13"/>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90982" w14:textId="77777777" w:rsidR="00A62F62" w:rsidRDefault="00A62F62" w:rsidP="00BF282B">
      <w:pPr>
        <w:spacing w:after="0" w:line="240" w:lineRule="auto"/>
      </w:pPr>
      <w:r>
        <w:separator/>
      </w:r>
    </w:p>
  </w:endnote>
  <w:endnote w:type="continuationSeparator" w:id="0">
    <w:p w14:paraId="454B2668" w14:textId="77777777" w:rsidR="00A62F62" w:rsidRDefault="00A62F62"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3ACE3D67" w14:textId="77777777" w:rsidTr="008117AD">
      <w:trPr>
        <w:cnfStyle w:val="100000000000" w:firstRow="1" w:lastRow="0" w:firstColumn="0" w:lastColumn="0" w:oddVBand="0" w:evenVBand="0" w:oddHBand="0" w:evenHBand="0" w:firstRowFirstColumn="0" w:firstRowLastColumn="0" w:lastRowFirstColumn="0" w:lastRowLastColumn="0"/>
      </w:trPr>
      <w:tc>
        <w:tcPr>
          <w:tcW w:w="5812" w:type="dxa"/>
        </w:tcPr>
        <w:p w14:paraId="19185339" w14:textId="4F7D5DF5" w:rsidR="00986A1D" w:rsidRPr="009B4E2A" w:rsidRDefault="00986A1D" w:rsidP="00841810">
          <w:pPr>
            <w:pStyle w:val="Sidfot"/>
          </w:pPr>
          <w:r w:rsidRPr="00B239BF">
            <w:t>Göteborgs Stad</w:t>
          </w:r>
          <w: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rsidR="000E11EC">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137111">
                <w:t>Underlag för beslut om stadsrevisionens budget 2026–2028</w:t>
              </w:r>
            </w:sdtContent>
          </w:sdt>
        </w:p>
      </w:tc>
      <w:tc>
        <w:tcPr>
          <w:tcW w:w="1343" w:type="dxa"/>
        </w:tcPr>
        <w:p w14:paraId="553D682E" w14:textId="77777777" w:rsidR="00986A1D" w:rsidRPr="009B4E2A" w:rsidRDefault="00986A1D" w:rsidP="00841810">
          <w:pPr>
            <w:pStyle w:val="Sidfot"/>
          </w:pPr>
        </w:p>
      </w:tc>
      <w:tc>
        <w:tcPr>
          <w:tcW w:w="1917" w:type="dxa"/>
        </w:tcPr>
        <w:p w14:paraId="2FD28893" w14:textId="77777777" w:rsidR="00986A1D" w:rsidRPr="009B4E2A" w:rsidRDefault="00986A1D" w:rsidP="00841810">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r w:rsidR="00FB2D0B">
            <w:fldChar w:fldCharType="begin"/>
          </w:r>
          <w:r w:rsidR="00FB2D0B">
            <w:instrText xml:space="preserve"> NUMPAGES   \* MERGEFORMAT </w:instrText>
          </w:r>
          <w:r w:rsidR="00FB2D0B">
            <w:fldChar w:fldCharType="separate"/>
          </w:r>
          <w:r w:rsidR="00C10045">
            <w:rPr>
              <w:noProof/>
            </w:rPr>
            <w:t>1</w:t>
          </w:r>
          <w:r w:rsidR="00FB2D0B">
            <w:rPr>
              <w:noProof/>
            </w:rPr>
            <w:fldChar w:fldCharType="end"/>
          </w:r>
          <w:r w:rsidRPr="009B4E2A">
            <w:t>)</w:t>
          </w:r>
        </w:p>
      </w:tc>
    </w:tr>
    <w:tr w:rsidR="00986A1D" w14:paraId="21B12004" w14:textId="77777777" w:rsidTr="008117AD">
      <w:tc>
        <w:tcPr>
          <w:tcW w:w="5812" w:type="dxa"/>
        </w:tcPr>
        <w:p w14:paraId="151675A2" w14:textId="77777777" w:rsidR="00986A1D" w:rsidRPr="00F66187" w:rsidRDefault="00986A1D" w:rsidP="00841810">
          <w:pPr>
            <w:pStyle w:val="Sidfot"/>
            <w:rPr>
              <w:rStyle w:val="Platshllartext"/>
              <w:color w:val="auto"/>
            </w:rPr>
          </w:pPr>
        </w:p>
      </w:tc>
      <w:tc>
        <w:tcPr>
          <w:tcW w:w="1343" w:type="dxa"/>
        </w:tcPr>
        <w:p w14:paraId="19AB79D5" w14:textId="77777777" w:rsidR="00986A1D" w:rsidRDefault="00986A1D" w:rsidP="00841810">
          <w:pPr>
            <w:pStyle w:val="Sidfot"/>
          </w:pPr>
        </w:p>
      </w:tc>
      <w:tc>
        <w:tcPr>
          <w:tcW w:w="1917" w:type="dxa"/>
        </w:tcPr>
        <w:p w14:paraId="626D99C6" w14:textId="77777777" w:rsidR="00986A1D" w:rsidRDefault="00986A1D" w:rsidP="00841810">
          <w:pPr>
            <w:pStyle w:val="Sidfot"/>
          </w:pPr>
        </w:p>
      </w:tc>
    </w:tr>
    <w:tr w:rsidR="00986A1D" w14:paraId="66CB505C" w14:textId="77777777" w:rsidTr="008117AD">
      <w:tc>
        <w:tcPr>
          <w:tcW w:w="5812" w:type="dxa"/>
        </w:tcPr>
        <w:p w14:paraId="23260030" w14:textId="77777777" w:rsidR="00986A1D" w:rsidRDefault="00986A1D" w:rsidP="00841810">
          <w:pPr>
            <w:pStyle w:val="Sidfot"/>
          </w:pPr>
        </w:p>
      </w:tc>
      <w:tc>
        <w:tcPr>
          <w:tcW w:w="1343" w:type="dxa"/>
        </w:tcPr>
        <w:p w14:paraId="03E1F6E6" w14:textId="77777777" w:rsidR="00986A1D" w:rsidRDefault="00986A1D" w:rsidP="00841810">
          <w:pPr>
            <w:pStyle w:val="Sidfot"/>
          </w:pPr>
        </w:p>
      </w:tc>
      <w:tc>
        <w:tcPr>
          <w:tcW w:w="1917" w:type="dxa"/>
        </w:tcPr>
        <w:p w14:paraId="0EC997A5" w14:textId="77777777" w:rsidR="00986A1D" w:rsidRDefault="00986A1D" w:rsidP="00841810">
          <w:pPr>
            <w:pStyle w:val="Sidfot"/>
          </w:pPr>
        </w:p>
      </w:tc>
    </w:tr>
  </w:tbl>
  <w:p w14:paraId="20D6B4D6" w14:textId="77777777" w:rsidR="00F57801" w:rsidRPr="00F66187" w:rsidRDefault="00F57801" w:rsidP="00841810">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2ECE4826" w14:textId="77777777" w:rsidTr="002A5694">
      <w:tc>
        <w:tcPr>
          <w:tcW w:w="7938" w:type="dxa"/>
        </w:tcPr>
        <w:p w14:paraId="3A83732F" w14:textId="3409C998" w:rsidR="00F93B36" w:rsidRDefault="000E11EC">
          <w:pPr>
            <w:pStyle w:val="Sidfot"/>
            <w:rPr>
              <w:b/>
            </w:rPr>
          </w:pPr>
          <w:r>
            <w:t xml:space="preserve">Stadsrevisionen,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EndPr/>
            <w:sdtContent>
              <w:r w:rsidR="00137111">
                <w:t>Underlag för beslut om stadsrevisionens budget 2026–2028</w:t>
              </w:r>
            </w:sdtContent>
          </w:sdt>
        </w:p>
      </w:tc>
      <w:tc>
        <w:tcPr>
          <w:tcW w:w="1134" w:type="dxa"/>
        </w:tcPr>
        <w:p w14:paraId="5FE6A82A" w14:textId="77777777" w:rsidR="0021040F" w:rsidRPr="008117AD" w:rsidRDefault="000E11EC"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rsidR="00FB2D0B">
            <w:fldChar w:fldCharType="begin"/>
          </w:r>
          <w:r w:rsidR="00FB2D0B">
            <w:instrText xml:space="preserve"> NUMPAGES   \* MERGEFORMAT </w:instrText>
          </w:r>
          <w:r w:rsidR="00FB2D0B">
            <w:fldChar w:fldCharType="separate"/>
          </w:r>
          <w:r w:rsidRPr="008117AD">
            <w:t>2</w:t>
          </w:r>
          <w:r w:rsidR="00FB2D0B">
            <w:fldChar w:fldCharType="end"/>
          </w:r>
          <w:r w:rsidRPr="008117AD">
            <w:t>)</w:t>
          </w:r>
        </w:p>
      </w:tc>
    </w:tr>
  </w:tbl>
  <w:p w14:paraId="3AB29B11" w14:textId="77777777" w:rsidR="00F57801" w:rsidRPr="00F66187" w:rsidRDefault="00F57801" w:rsidP="0070708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1712925B" w14:textId="77777777" w:rsidTr="002A5694">
      <w:tc>
        <w:tcPr>
          <w:tcW w:w="7938" w:type="dxa"/>
        </w:tcPr>
        <w:p w14:paraId="3EB23B6C" w14:textId="4D987802" w:rsidR="00F93B36" w:rsidRDefault="000E11EC">
          <w:pPr>
            <w:pStyle w:val="Sidfot"/>
          </w:pPr>
          <w:r>
            <w:t xml:space="preserve">Stadsrevisionen,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rsidR="00137111">
                <w:t>Underlag för beslut om stadsrevisionens budget 2026–2028</w:t>
              </w:r>
            </w:sdtContent>
          </w:sdt>
        </w:p>
      </w:tc>
      <w:tc>
        <w:tcPr>
          <w:tcW w:w="1134" w:type="dxa"/>
        </w:tcPr>
        <w:p w14:paraId="569E6EEE" w14:textId="77777777" w:rsidR="0021040F" w:rsidRPr="008117AD" w:rsidRDefault="000E11EC"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rsidR="00FB2D0B">
            <w:fldChar w:fldCharType="begin"/>
          </w:r>
          <w:r w:rsidR="00FB2D0B">
            <w:instrText xml:space="preserve"> NUMPAGES   \* MERGEFORMAT </w:instrText>
          </w:r>
          <w:r w:rsidR="00FB2D0B">
            <w:fldChar w:fldCharType="separate"/>
          </w:r>
          <w:r w:rsidRPr="008117AD">
            <w:t>2</w:t>
          </w:r>
          <w:r w:rsidR="00FB2D0B">
            <w:fldChar w:fldCharType="end"/>
          </w:r>
          <w:r w:rsidRPr="008117AD">
            <w:t>)</w:t>
          </w:r>
        </w:p>
      </w:tc>
    </w:tr>
  </w:tbl>
  <w:p w14:paraId="3E856422" w14:textId="77777777" w:rsidR="00BD0663" w:rsidRDefault="00BD0663" w:rsidP="00841810">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2EC88" w14:textId="77777777" w:rsidR="00A62F62" w:rsidRDefault="00A62F62" w:rsidP="00BF282B">
      <w:pPr>
        <w:spacing w:after="0" w:line="240" w:lineRule="auto"/>
      </w:pPr>
      <w:r>
        <w:separator/>
      </w:r>
    </w:p>
  </w:footnote>
  <w:footnote w:type="continuationSeparator" w:id="0">
    <w:p w14:paraId="1C223DE0" w14:textId="77777777" w:rsidR="00A62F62" w:rsidRDefault="00A62F62" w:rsidP="00BF282B">
      <w:pPr>
        <w:spacing w:after="0" w:line="240" w:lineRule="auto"/>
      </w:pPr>
      <w:r>
        <w:continuationSeparator/>
      </w:r>
    </w:p>
  </w:footnote>
  <w:footnote w:id="1">
    <w:p w14:paraId="3BF6B231" w14:textId="77777777" w:rsidR="00292ECB" w:rsidRDefault="00292ECB" w:rsidP="00292ECB">
      <w:pPr>
        <w:pStyle w:val="Fotnotstext"/>
      </w:pPr>
      <w:r>
        <w:rPr>
          <w:rStyle w:val="Fotnotsreferens"/>
        </w:rPr>
        <w:footnoteRef/>
      </w:r>
      <w:r>
        <w:t xml:space="preserve"> Se Underlag för beslut om stadsrevisionens budget 2025–2027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365FB" w14:textId="77777777" w:rsidR="0021040F" w:rsidRDefault="0021040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31331" w14:textId="77777777" w:rsidR="0021040F" w:rsidRDefault="0021040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FB3B58" w14:paraId="338F4A3F" w14:textId="77777777" w:rsidTr="000B2C87">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51A7BE49" w14:textId="77777777" w:rsidR="00F93B36" w:rsidRDefault="000E11EC">
          <w:pPr>
            <w:pStyle w:val="Sidhuvud"/>
            <w:spacing w:after="100"/>
            <w:rPr>
              <w:b w:val="0"/>
              <w:bCs/>
            </w:rPr>
          </w:pPr>
          <w:r>
            <w:rPr>
              <w:b w:val="0"/>
              <w:bCs/>
            </w:rPr>
            <w:t>Stadsrevisionen</w:t>
          </w:r>
        </w:p>
      </w:tc>
      <w:tc>
        <w:tcPr>
          <w:tcW w:w="3969" w:type="dxa"/>
          <w:tcBorders>
            <w:bottom w:val="nil"/>
          </w:tcBorders>
          <w:shd w:val="clear" w:color="auto" w:fill="auto"/>
        </w:tcPr>
        <w:p w14:paraId="2B3BE364" w14:textId="77777777" w:rsidR="0021040F" w:rsidRDefault="000B6F6F" w:rsidP="00FB3B58">
          <w:pPr>
            <w:pStyle w:val="Sidhuvud"/>
            <w:spacing w:after="100"/>
            <w:jc w:val="right"/>
          </w:pPr>
          <w:r>
            <w:rPr>
              <w:noProof/>
              <w:lang w:eastAsia="sv-SE"/>
            </w:rPr>
            <w:drawing>
              <wp:inline distT="0" distB="0" distL="0" distR="0" wp14:anchorId="5D6D3002" wp14:editId="40D79F42">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14:paraId="6A141D88" w14:textId="77777777" w:rsidTr="000B2C87">
      <w:tc>
        <w:tcPr>
          <w:tcW w:w="5103" w:type="dxa"/>
          <w:tcBorders>
            <w:top w:val="nil"/>
            <w:bottom w:val="single" w:sz="4" w:space="0" w:color="auto"/>
          </w:tcBorders>
          <w:shd w:val="clear" w:color="auto" w:fill="auto"/>
        </w:tcPr>
        <w:p w14:paraId="1B202157" w14:textId="77777777" w:rsidR="0021040F" w:rsidRDefault="0021040F" w:rsidP="00FB3B58">
          <w:pPr>
            <w:pStyle w:val="Sidhuvud"/>
            <w:spacing w:after="100"/>
          </w:pPr>
        </w:p>
      </w:tc>
      <w:tc>
        <w:tcPr>
          <w:tcW w:w="3969" w:type="dxa"/>
          <w:tcBorders>
            <w:bottom w:val="single" w:sz="4" w:space="0" w:color="auto"/>
          </w:tcBorders>
          <w:shd w:val="clear" w:color="auto" w:fill="auto"/>
        </w:tcPr>
        <w:p w14:paraId="3AABC0E6" w14:textId="77777777" w:rsidR="0021040F" w:rsidRDefault="0021040F" w:rsidP="00FB3B58">
          <w:pPr>
            <w:pStyle w:val="Sidhuvud"/>
            <w:spacing w:after="100"/>
            <w:jc w:val="right"/>
          </w:pPr>
        </w:p>
      </w:tc>
    </w:tr>
  </w:tbl>
  <w:p w14:paraId="20BDCC6A" w14:textId="77434AA9" w:rsidR="0021040F" w:rsidRDefault="002104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12751"/>
    <w:multiLevelType w:val="hybridMultilevel"/>
    <w:tmpl w:val="F85C6F3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30FB5A98"/>
    <w:multiLevelType w:val="hybridMultilevel"/>
    <w:tmpl w:val="9E2435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6BA7E6D"/>
    <w:multiLevelType w:val="hybridMultilevel"/>
    <w:tmpl w:val="F5462B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E635754"/>
    <w:multiLevelType w:val="hybridMultilevel"/>
    <w:tmpl w:val="E9C23B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54976807">
    <w:abstractNumId w:val="3"/>
  </w:num>
  <w:num w:numId="2" w16cid:durableId="1349021344">
    <w:abstractNumId w:val="2"/>
  </w:num>
  <w:num w:numId="3" w16cid:durableId="826702984">
    <w:abstractNumId w:val="1"/>
  </w:num>
  <w:num w:numId="4" w16cid:durableId="139621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031B2"/>
    <w:rsid w:val="000B6F6F"/>
    <w:rsid w:val="000C68BA"/>
    <w:rsid w:val="000C6B6F"/>
    <w:rsid w:val="000E11EC"/>
    <w:rsid w:val="000F2B85"/>
    <w:rsid w:val="0011061F"/>
    <w:rsid w:val="0011381D"/>
    <w:rsid w:val="00134EAF"/>
    <w:rsid w:val="00137111"/>
    <w:rsid w:val="00142FEF"/>
    <w:rsid w:val="001574FC"/>
    <w:rsid w:val="00173F0C"/>
    <w:rsid w:val="00174432"/>
    <w:rsid w:val="00191E60"/>
    <w:rsid w:val="001C2218"/>
    <w:rsid w:val="001D645F"/>
    <w:rsid w:val="001F5D8C"/>
    <w:rsid w:val="0021040F"/>
    <w:rsid w:val="00211CD9"/>
    <w:rsid w:val="002313C6"/>
    <w:rsid w:val="00232974"/>
    <w:rsid w:val="00241F59"/>
    <w:rsid w:val="00244443"/>
    <w:rsid w:val="002534EA"/>
    <w:rsid w:val="00257F49"/>
    <w:rsid w:val="00270E30"/>
    <w:rsid w:val="00292ECB"/>
    <w:rsid w:val="002B29DB"/>
    <w:rsid w:val="002C195E"/>
    <w:rsid w:val="002D09F7"/>
    <w:rsid w:val="002D6E72"/>
    <w:rsid w:val="002D733C"/>
    <w:rsid w:val="002F1994"/>
    <w:rsid w:val="003031B5"/>
    <w:rsid w:val="003164EC"/>
    <w:rsid w:val="00322FFB"/>
    <w:rsid w:val="003258F1"/>
    <w:rsid w:val="00332A7F"/>
    <w:rsid w:val="00350FEF"/>
    <w:rsid w:val="00367F49"/>
    <w:rsid w:val="00372CB4"/>
    <w:rsid w:val="003D60C3"/>
    <w:rsid w:val="003E4BB1"/>
    <w:rsid w:val="003F3FF9"/>
    <w:rsid w:val="00401B69"/>
    <w:rsid w:val="0041271D"/>
    <w:rsid w:val="00414E79"/>
    <w:rsid w:val="004246E4"/>
    <w:rsid w:val="00440D30"/>
    <w:rsid w:val="00464A8B"/>
    <w:rsid w:val="00464ABF"/>
    <w:rsid w:val="00473C11"/>
    <w:rsid w:val="00476952"/>
    <w:rsid w:val="004A0A24"/>
    <w:rsid w:val="004A5252"/>
    <w:rsid w:val="004B287C"/>
    <w:rsid w:val="004C0571"/>
    <w:rsid w:val="004C0DA3"/>
    <w:rsid w:val="004C78B0"/>
    <w:rsid w:val="004F1E48"/>
    <w:rsid w:val="00521790"/>
    <w:rsid w:val="005729A0"/>
    <w:rsid w:val="00594168"/>
    <w:rsid w:val="00597ACB"/>
    <w:rsid w:val="005A0293"/>
    <w:rsid w:val="005E36BA"/>
    <w:rsid w:val="005E6622"/>
    <w:rsid w:val="005F5390"/>
    <w:rsid w:val="00607F19"/>
    <w:rsid w:val="00613965"/>
    <w:rsid w:val="00623D4E"/>
    <w:rsid w:val="00631C23"/>
    <w:rsid w:val="0066216B"/>
    <w:rsid w:val="00663186"/>
    <w:rsid w:val="0067199E"/>
    <w:rsid w:val="006772D2"/>
    <w:rsid w:val="00690A7F"/>
    <w:rsid w:val="006B3233"/>
    <w:rsid w:val="006C0750"/>
    <w:rsid w:val="006C14BF"/>
    <w:rsid w:val="006E468E"/>
    <w:rsid w:val="007050EE"/>
    <w:rsid w:val="00720B05"/>
    <w:rsid w:val="0072645C"/>
    <w:rsid w:val="00735100"/>
    <w:rsid w:val="00742AE2"/>
    <w:rsid w:val="007517BE"/>
    <w:rsid w:val="00763145"/>
    <w:rsid w:val="00766929"/>
    <w:rsid w:val="00770200"/>
    <w:rsid w:val="007A0E1C"/>
    <w:rsid w:val="007B1E98"/>
    <w:rsid w:val="007C2C62"/>
    <w:rsid w:val="007D08CB"/>
    <w:rsid w:val="00827C6A"/>
    <w:rsid w:val="00831E91"/>
    <w:rsid w:val="00861372"/>
    <w:rsid w:val="00872DC6"/>
    <w:rsid w:val="008760F6"/>
    <w:rsid w:val="008827F4"/>
    <w:rsid w:val="00886C78"/>
    <w:rsid w:val="008C050D"/>
    <w:rsid w:val="008E56C2"/>
    <w:rsid w:val="008F34EE"/>
    <w:rsid w:val="0090730F"/>
    <w:rsid w:val="009225A8"/>
    <w:rsid w:val="00927253"/>
    <w:rsid w:val="009433F3"/>
    <w:rsid w:val="009624D4"/>
    <w:rsid w:val="009679E8"/>
    <w:rsid w:val="00985ACB"/>
    <w:rsid w:val="00986A1D"/>
    <w:rsid w:val="00991FE8"/>
    <w:rsid w:val="009B4E2A"/>
    <w:rsid w:val="009C037A"/>
    <w:rsid w:val="009C15C6"/>
    <w:rsid w:val="009D4D5C"/>
    <w:rsid w:val="00A074B5"/>
    <w:rsid w:val="00A11355"/>
    <w:rsid w:val="00A16150"/>
    <w:rsid w:val="00A3207C"/>
    <w:rsid w:val="00A345C1"/>
    <w:rsid w:val="00A3668C"/>
    <w:rsid w:val="00A36B14"/>
    <w:rsid w:val="00A47AD9"/>
    <w:rsid w:val="00A55BC5"/>
    <w:rsid w:val="00A62F62"/>
    <w:rsid w:val="00A8112E"/>
    <w:rsid w:val="00A86B1E"/>
    <w:rsid w:val="00AA0284"/>
    <w:rsid w:val="00AE5147"/>
    <w:rsid w:val="00AE5F41"/>
    <w:rsid w:val="00B13F09"/>
    <w:rsid w:val="00B347CE"/>
    <w:rsid w:val="00B408EC"/>
    <w:rsid w:val="00B428F8"/>
    <w:rsid w:val="00B456FF"/>
    <w:rsid w:val="00B63E0E"/>
    <w:rsid w:val="00B75600"/>
    <w:rsid w:val="00B91A6B"/>
    <w:rsid w:val="00BA1320"/>
    <w:rsid w:val="00BD0663"/>
    <w:rsid w:val="00BF1EC3"/>
    <w:rsid w:val="00BF282B"/>
    <w:rsid w:val="00C0363D"/>
    <w:rsid w:val="00C10045"/>
    <w:rsid w:val="00C153B4"/>
    <w:rsid w:val="00C641A1"/>
    <w:rsid w:val="00C85A21"/>
    <w:rsid w:val="00CB1AD2"/>
    <w:rsid w:val="00CC1101"/>
    <w:rsid w:val="00CC37A4"/>
    <w:rsid w:val="00CD65E8"/>
    <w:rsid w:val="00CE73BB"/>
    <w:rsid w:val="00D14531"/>
    <w:rsid w:val="00D21D96"/>
    <w:rsid w:val="00D22966"/>
    <w:rsid w:val="00D40723"/>
    <w:rsid w:val="00D558AB"/>
    <w:rsid w:val="00D63FAE"/>
    <w:rsid w:val="00D731D2"/>
    <w:rsid w:val="00D9681A"/>
    <w:rsid w:val="00DA76F6"/>
    <w:rsid w:val="00DB0F9D"/>
    <w:rsid w:val="00DB6970"/>
    <w:rsid w:val="00DC59E4"/>
    <w:rsid w:val="00DC6E79"/>
    <w:rsid w:val="00DD3D57"/>
    <w:rsid w:val="00DE031A"/>
    <w:rsid w:val="00DE0654"/>
    <w:rsid w:val="00DF152D"/>
    <w:rsid w:val="00DF37A9"/>
    <w:rsid w:val="00E11731"/>
    <w:rsid w:val="00E128E4"/>
    <w:rsid w:val="00E463F6"/>
    <w:rsid w:val="00E464C8"/>
    <w:rsid w:val="00E71181"/>
    <w:rsid w:val="00E80624"/>
    <w:rsid w:val="00E83740"/>
    <w:rsid w:val="00E855FF"/>
    <w:rsid w:val="00EA1D4D"/>
    <w:rsid w:val="00EF388D"/>
    <w:rsid w:val="00F4117C"/>
    <w:rsid w:val="00F57801"/>
    <w:rsid w:val="00F634AA"/>
    <w:rsid w:val="00F66187"/>
    <w:rsid w:val="00F7368E"/>
    <w:rsid w:val="00F77575"/>
    <w:rsid w:val="00F93B36"/>
    <w:rsid w:val="00FA0781"/>
    <w:rsid w:val="00FB2D0B"/>
    <w:rsid w:val="00FB33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9CD0B"/>
  <w15:docId w15:val="{9349E598-FE79-43A0-A159-18380B30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E8"/>
    <w:pPr>
      <w:spacing w:after="160" w:line="276" w:lineRule="auto"/>
    </w:pPr>
    <w:rPr>
      <w:sz w:val="22"/>
    </w:rPr>
  </w:style>
  <w:style w:type="paragraph" w:styleId="Rubrik1">
    <w:name w:val="heading 1"/>
    <w:basedOn w:val="Normal"/>
    <w:next w:val="Normal"/>
    <w:link w:val="Rubrik1Char"/>
    <w:uiPriority w:val="9"/>
    <w:qFormat/>
    <w:rsid w:val="0066216B"/>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66216B"/>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66216B"/>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66216B"/>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216B"/>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66216B"/>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66216B"/>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66216B"/>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C641A1"/>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Liststycke">
    <w:name w:val="List Paragraph"/>
    <w:basedOn w:val="Normal"/>
    <w:uiPriority w:val="34"/>
    <w:qFormat/>
    <w:rsid w:val="0072645C"/>
    <w:pPr>
      <w:ind w:left="720"/>
      <w:contextualSpacing/>
    </w:pPr>
  </w:style>
  <w:style w:type="paragraph" w:styleId="Brdtext">
    <w:name w:val="Body Text"/>
    <w:aliases w:val="(Stadsrevisionen)"/>
    <w:basedOn w:val="Normal"/>
    <w:link w:val="BrdtextChar"/>
    <w:rsid w:val="0072645C"/>
    <w:pPr>
      <w:spacing w:after="240" w:line="240" w:lineRule="auto"/>
      <w:outlineLvl w:val="0"/>
    </w:pPr>
    <w:rPr>
      <w:rFonts w:ascii="Arial" w:eastAsia="Arial" w:hAnsi="Arial" w:cs="Times New Roman"/>
      <w:sz w:val="23"/>
      <w:szCs w:val="22"/>
    </w:rPr>
  </w:style>
  <w:style w:type="character" w:customStyle="1" w:styleId="BrdtextChar">
    <w:name w:val="Brödtext Char"/>
    <w:aliases w:val="(Stadsrevisionen) Char"/>
    <w:basedOn w:val="Standardstycketeckensnitt"/>
    <w:link w:val="Brdtext"/>
    <w:rsid w:val="0072645C"/>
    <w:rPr>
      <w:rFonts w:ascii="Arial" w:eastAsia="Arial" w:hAnsi="Arial" w:cs="Times New Roman"/>
      <w:sz w:val="23"/>
      <w:szCs w:val="22"/>
    </w:rPr>
  </w:style>
  <w:style w:type="character" w:styleId="Kommentarsreferens">
    <w:name w:val="annotation reference"/>
    <w:basedOn w:val="Standardstycketeckensnitt"/>
    <w:uiPriority w:val="99"/>
    <w:semiHidden/>
    <w:unhideWhenUsed/>
    <w:rsid w:val="00464ABF"/>
    <w:rPr>
      <w:sz w:val="16"/>
      <w:szCs w:val="16"/>
    </w:rPr>
  </w:style>
  <w:style w:type="paragraph" w:styleId="Kommentarer">
    <w:name w:val="annotation text"/>
    <w:basedOn w:val="Normal"/>
    <w:link w:val="KommentarerChar"/>
    <w:uiPriority w:val="99"/>
    <w:unhideWhenUsed/>
    <w:rsid w:val="00464ABF"/>
    <w:pPr>
      <w:spacing w:line="240" w:lineRule="auto"/>
    </w:pPr>
    <w:rPr>
      <w:sz w:val="20"/>
      <w:szCs w:val="20"/>
    </w:rPr>
  </w:style>
  <w:style w:type="character" w:customStyle="1" w:styleId="KommentarerChar">
    <w:name w:val="Kommentarer Char"/>
    <w:basedOn w:val="Standardstycketeckensnitt"/>
    <w:link w:val="Kommentarer"/>
    <w:uiPriority w:val="99"/>
    <w:rsid w:val="00464ABF"/>
    <w:rPr>
      <w:sz w:val="20"/>
      <w:szCs w:val="20"/>
    </w:rPr>
  </w:style>
  <w:style w:type="paragraph" w:styleId="Kommentarsmne">
    <w:name w:val="annotation subject"/>
    <w:basedOn w:val="Kommentarer"/>
    <w:next w:val="Kommentarer"/>
    <w:link w:val="KommentarsmneChar"/>
    <w:uiPriority w:val="99"/>
    <w:semiHidden/>
    <w:unhideWhenUsed/>
    <w:rsid w:val="00464ABF"/>
    <w:rPr>
      <w:b/>
      <w:bCs/>
    </w:rPr>
  </w:style>
  <w:style w:type="character" w:customStyle="1" w:styleId="KommentarsmneChar">
    <w:name w:val="Kommentarsämne Char"/>
    <w:basedOn w:val="KommentarerChar"/>
    <w:link w:val="Kommentarsmne"/>
    <w:uiPriority w:val="99"/>
    <w:semiHidden/>
    <w:rsid w:val="00464ABF"/>
    <w:rPr>
      <w:b/>
      <w:bCs/>
      <w:sz w:val="20"/>
      <w:szCs w:val="20"/>
    </w:rPr>
  </w:style>
  <w:style w:type="paragraph" w:styleId="Fotnotstext">
    <w:name w:val="footnote text"/>
    <w:basedOn w:val="Normal"/>
    <w:link w:val="FotnotstextChar"/>
    <w:uiPriority w:val="99"/>
    <w:semiHidden/>
    <w:unhideWhenUsed/>
    <w:rsid w:val="00D14531"/>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D14531"/>
    <w:rPr>
      <w:sz w:val="20"/>
      <w:szCs w:val="20"/>
    </w:rPr>
  </w:style>
  <w:style w:type="character" w:styleId="Fotnotsreferens">
    <w:name w:val="footnote reference"/>
    <w:basedOn w:val="Standardstycketeckensnitt"/>
    <w:uiPriority w:val="99"/>
    <w:semiHidden/>
    <w:unhideWhenUsed/>
    <w:rsid w:val="00D145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12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43240-A426-4EC9-B341-CC84BCDDC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2446</Words>
  <Characters>12968</Characters>
  <Application>Microsoft Office Word</Application>
  <DocSecurity>0</DocSecurity>
  <Lines>108</Lines>
  <Paragraphs>30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Underlag för beslut om stadsrevisionens budget 2026–2028</dc:title>
  <dc:subject/>
  <dc:creator>sven.lindstrom@stadsrevisionen.goteborg.se</dc:creator>
  <dc:description/>
  <cp:lastModifiedBy>Andreja Skaljac Sarcevic</cp:lastModifiedBy>
  <cp:revision>35</cp:revision>
  <cp:lastPrinted>2017-01-05T15:29:00Z</cp:lastPrinted>
  <dcterms:created xsi:type="dcterms:W3CDTF">2025-08-08T06:23:00Z</dcterms:created>
  <dcterms:modified xsi:type="dcterms:W3CDTF">2025-08-08T13:31:00Z</dcterms:modified>
</cp:coreProperties>
</file>